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إتحاف</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الطلاب</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برد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شبه</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الطالبي</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الطالبي</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BINGKISAN PENUNTUT ILMU</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BANTAHAN TERHADAP SYUBHAT ATH-THALIBI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Dialog Kedua Bersama Abu ‘Abdirrahman ath-Thalibi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[Bagian 3]</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Abu Salma bin Burhan al-Atsari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Setelah kita mengulas mengenai istilah salafiyyah yang disalahfahami dan disalahartikan oleh ath-Thalibi, mari kita sekarang masuk ke pembahasan mengenai ”tafsiran kalimat Ibnu Taimiyah”. Demikianlah sub judul dalam buku DSDB2 ini (hal. 139). Membaca ulasan ath-Thalibi di dalam bab ini, saya semakin mantap dengan kesimpulan ke-7 risalah saya sebelumnya, ”Perisai Penuntut Ilmu”, yaitu ath-Thalibi tidak faham Bahasa Arab, dan hal ini semakin diperkuat dengan ucapannya sendiri yang menyatakan : ”Terus terang, saya masih kurang ilmu di bidang bahasa Arab. Masih butuh banyak belajar lagi.” (lih. Hal. 147 paragraf terakhir). Bahkan, saya sangat jarang sekali mendapatkan nukilan-nukilan di dalam bukunya dari ucapan para ulama, menukil fatwa lajnah daimah pun dalam edisi Bahasa Inggeris. Padahal apabila ath-Thalibi mau sedikit bersusah payah, apalagi sampai menurunkan buku ”Menjawab Tuduhan” ini, ia dapat dengan mudah mendapatkan nukilan Fatwa Lajnah Daimah secara mudah... oleh karena itulah, al-Mishri memasukkan fatwa ini ke dalam lampiran...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Baiklah, sekarang mari kita kupas analisa ath-Thalibi terhadap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menunjukkan bahwa pemahamannya terhadap ucapan Syaikhul Islam ini adalah timpang dan cacat... cacat dari segi makna dan bahasa...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beberapa poin yang ingin saya luruskan, yaitu :</w:t>
      </w:r>
    </w:p>
    <w:p w:rsidR="00000000" w:rsidDel="00000000" w:rsidP="00000000" w:rsidRDefault="00000000" w:rsidRPr="00000000" w14:paraId="0000001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Latar belakang ucapan Syaikhul Islam Ibnu Taimiyah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Balaghoh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beliau yang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ushlub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peningkaran.</w:t>
      </w:r>
    </w:p>
    <w:p w:rsidR="00000000" w:rsidDel="00000000" w:rsidP="00000000" w:rsidRDefault="00000000" w:rsidRPr="00000000" w14:paraId="0000001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Kesalahan penterjemahan ath-Thalibi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 ma’al Faariq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menunjukkan kejahilannya akan Bahasa Arab.</w:t>
      </w:r>
    </w:p>
    <w:p w:rsidR="00000000" w:rsidDel="00000000" w:rsidP="00000000" w:rsidRDefault="00000000" w:rsidRPr="00000000" w14:paraId="0000001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Tuduhan ath-Thalibi bahwa saya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mufassir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Syaikhul Islam sedangkan dia hanya memahami saja, dan sah-sah saja memahami perkataan seorang ulama...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 mari sekarang kita kupas satu persatu ulasan ath-Thalibi ini.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Latar Belakang Ucapan Syaikhul Islam</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perjalanan awal kita, untuk mengetahui konteks dan maksud ucapan Syaikkhul Islam, oleh karena itu kita perlu menilik ucapan dan pembahasan Syaikhul Islam Ibnu Taimiyah dalam pembahasan dan kalimat sebelumnya. Syaikhul Islam di dalam ucapannya yang sedang kita diskusikan ini, sebenarnya sedang menyanggah ucapan Syaikh al-’Izz bin ’Abdis Salam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pasal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Fashlu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 Qouli man Qoola innal Hasyawiyah ’alal Dhorbain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(Pasal tentang ucapan orang yang mengatakan bahwa sesungguhnya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Hasawiyah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 dua bentuk). Syaikh al-’Izz bin ’Abdis Salam menyatakan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الحشوية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ضربين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يتحاشى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الحشو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والتشبيه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والتجسيم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التوحيد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والتنزيه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التشبيه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والتجسيم</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Hasyawiyah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(sebutan bagi orang yang linglung atau bodoh terhadap apa yang diucapkannya; sebutan ini biasanya julukan ahlu bid’ah kepada ahli sunnah, pent.) ada dua bentuk, yaitu orang yang tidak menjauhkan diri dari sisipan, penyerupaan dan penyifatan jism (raga) bagi Alloh dan yang lainnya adalah orang yang menyamarkan madzhab salaf. Madzhab salaf itu sesungguhnya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tanzih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(pensucian) saja tanpa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tasybih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(penyerupaan)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tajsim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memberikan komentar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المبتدعة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يزعمون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لليلى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بذاكا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semua ahli bid’ah mengira bahwa ini semua ada pada mereka, sebagaimana ucapan seorang penyair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Semua mengaku-ngaku punya hubungan dengan Laila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Namun Laila memungkiri pengaku-ngakuan itu</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Ucapannya ini di dalamnya ada yang benar dan ada yang salah...”</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dengan anggunnya membantah ucapan di atas secara panjang lebar, sampai bantahan beliau tentang menyamarkan madzhab salaf.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الاستخفاء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الرافضة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المستضعف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واستنانه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فرعون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سلطان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تستروا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ذممت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طائفة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المستضعفين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المستترين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لذم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الملأ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لذم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بلفظ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بالتستر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يجتنون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ويتقون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ويتظاهرون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خوطب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وانتسب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واعتزى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علانيته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سريرته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نؤمر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بطونهم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”Sisi ketiga : Ucapan beliau ”dan yang lainnya orang yang menyamarkan madzhab salaf”. Apabila yang anda maksudkan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(menyamarkan) di sini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al-Istikhfa`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(menyembunyikan) madzhab salaf, maka dijawab : tidaklah madzhab salaf itu disembunyikan melainkan hanya di negeri ahli bid’ah, seperti negerinya kaum Rafidhah dan khowarij. Karena sesungguhnya seorang mukmin yang dalam keadaan lemah di sana, terkadang menyembunyikan keimanannya dan pelaksanaan sunnahnya, sebagaimana keluarga Fir’aun memyembunyikan keimanannya, dan sebagaimana pula mayoritas kaum mukminin yang sedang menyembunyikan keimanannya tatkala mereka berada 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daarul harb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(negeri kuffar).</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apabila mereka berada di negeri yang anda memiliki kekuasaan di dalamnya, dan mereka menyembunyikan madzhab salaf, maka sungguh anda telah mencela diri anda sendiri, ketika anda termasuk golongan yang menyembunyikan madzhab salaf di tengah-tengah mereka. Namun apabila anda adalah orang yang lemah dan menyembunyikan madzab salaf maka tidak ada gunanya celaan bagi anda. Apabila anda bukan termasuk mereka dan tidak pula termasuk orang yang terkemuka, maka tidak ada aspek celaan bagi suatu kaum terhadap lafazh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(penyembunyian/penyamaran).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yang anda maksudkan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mereka menutupi madzhab salaf dan takut kepada selain mereka kemudian mereka menampakkan madzhab salaf, sampai-sampai ketika dipanggil salah seorang dari mereka, ia mengatakan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Aku berada di atas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dan inilah yang ia maksudkan,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dikatakan padanya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Tidaklah aib (tercela) bagi orang yang menampakkan madzhab salaf, bernisbat kepadanya dan berbangga dengannya. Bahkan wajib menerima pernyataan tersebut darinya dengan kesepakatan, karena sesungguhnya tidaklah  madzhab salaf itu melainkan kebenaran.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ia selaras dengan madzhab salaf secara bathin dan zhahir maka ia berada di atas kedudukan seorang mukmin yang berada di atas kebenaran secara bathin dan zhahir. Namun apabila ia hanya selaras dengan madzhab salaf hanya zhahirnya saja tanpa bathinnya, maka ia berada pada posisi munafik.</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diterima yang tampak darinya dan diserahkan apa yang ia rahasiakan kepada Alloh, karena sesungguhnya kita tidaklah diperintahkan untuk menilai hati-hati manusia dan menvonis apa yang ada pada bathin mereka.”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Bagi mereka yang memperhatikan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akan tampaklah padanya suatu kejelasan,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balaghoh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beliau ini adalah suatu pengingkaran, karena beliau menyanggah ucapan Syaikh al-‘Izz bin ‘Abdis Salam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mengenai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Beliau menyokong orang yang menyatakan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berada di atas madzhab salaf), bahkan beliau nyatakan bahwa menampakkan, bernisbat dan berbangga dengan madzhab salaf bukanlah aib, bahkan wajib menerima pernyataan tersebut darinya dengan kesepakatan. Menurut Syaikhul Islam, tidaklah madzhab salaf itu melainkan hanyalah kebenaran.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ini jawaban pertama tuduhan ath-Thalibi yang mempertanyakan darimana kesimpulan yang saya ambil tentang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balaghoh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pengingkaran ini. Bahkan, sekiranya kita hanya mencuplik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aiba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dst saja, maka ini sudah cukup bagi mereka yang faham Bahasa Arab. Namun supaya ath-Thalibi tidak bertanya-tanya, maka tidak ada salahnya saya kemukakan ulasannya yang panjang.</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Anehnya, ath-Thalibi menuduh saya menukil ucapan Syaikhul Islam hanyalah dari nukilan orang lain, sedangkan dia sendiri juga melakukan hal yang sama. Bahkan, anehnya lagi ath-Thalibi ini, ia menurunkan buku DSDB2 ini yang telah tersebar di pasaran dan menjadi konsumsi khayalak, namun ia tidak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tatsabut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ucapan Syaikhul Islam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ia fahami menurut pikirannya sendiri.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Kesalahan Penterjemahan ath-Thalibi dan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Qiyas Fasid</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di dalam pembelaan terhadap pemahaman dan penterjemahannya terhadap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melepaskan argumen-argumen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qiyas-qiyas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fasid, yang semakin membuka kedok akan jati dirinya. Sebagai informasi saja, saya telah menyodorkan ucapan ath-Thalibi dalam pembahasan ini (DSDB2 hal. 148-151) kepada beberapa asatidzah dan thullabul ilmi yang menekuni Bahasa Arab –sebagai bahan masukan- beserta dengan nukilan kopian ucapan Syaikhul Islam dalam Majmu’ Fatawa jilid IV. Ketika mereka membaca ucapan Syaikhul Islam dan membandingkan dengan apa yang dilontarkan ath-Thalibi, mereka semua mengatakan bahwa uraian ath-Thalibi ini lucu dan aneh, menunjukkan hakikat orang yang tidak faham Bahasa Arab.</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al-Ustadz al-Fadhil Abu Hamzah Agus Hasan Bashori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–beberapa bukunya diterbitkan Pustaka Al-Kautsar-, waktu saya sodorkan ucapan ath-Thalibi dan ucapan 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hari Jum’at (18 Mei 2007) sebelum khutbah Jum’at di kantor saya, beliau  mengatakan : “orang ini –maksudnya ath-Thalibi- jahil...”, lalu beliau menjelaskan bahwa dua jalan utama metode berdalilnya ahlul bid’ah adalah, dari jalan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lughoh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(bahasa)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dua hal ini terhimpun pada uraian ath-Thalibi. Dan jangan difahami bahwa kita menvonis ath-Thalibi sebagai ahli bid’ah, karena tidaklah setiap orang yang jatuh pada kebid’ahan maka otomatis menjadi ahli bid’ah. Apalagi terhadap seorang yang jahil...</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harap ath-Thalibi tidak tersinggung ketika dikatakan jahil, karena kita semua ini adalah jahil. Saya pribadi jika dicela dan disebut jahil, tidak merasa marah ataupun tersinggung. Bahkan saya anggap itu suatu kebenaran, bahwa saya memang orang yang masih jahil. Namun, saya hanya sering menelaah argumentasi orang yang menuduh tersebut, apabila benar maka alhamdulillah kita mendapatkan ilmu. Jika salah maka alhamdulillah, ternyata masih ada orang yang lebih jahil daripada kita...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Baiklah, sekarang mari kita menelaah uraian penterjemahan dan pemahaman yang dilakukan ath-Thalibi... ada beberapa poin yang ingin saya tanggapi :</w:t>
      </w:r>
    </w:p>
    <w:p w:rsidR="00000000" w:rsidDel="00000000" w:rsidP="00000000" w:rsidRDefault="00000000" w:rsidRPr="00000000" w14:paraId="0000002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Syaikhul Islam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منه</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dianggap ath-Thalibi bermakna satu saja lalu ia mengkiaskan dengan penggunaan kata bertumpuk dan berulang.</w:t>
      </w:r>
    </w:p>
    <w:p w:rsidR="00000000" w:rsidDel="00000000" w:rsidP="00000000" w:rsidRDefault="00000000" w:rsidRPr="00000000" w14:paraId="0000003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بالاتفاق</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difahami ath-Thalibi dengan menyepakati madzhab salaf</w:t>
      </w:r>
    </w:p>
    <w:p w:rsidR="00000000" w:rsidDel="00000000" w:rsidP="00000000" w:rsidRDefault="00000000" w:rsidRPr="00000000" w14:paraId="0000003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Kejanggalan metode berfikir ath-Thalibi di dalam berargumentasi dengan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w:t>
      </w:r>
    </w:p>
    <w:p w:rsidR="00000000" w:rsidDel="00000000" w:rsidP="00000000" w:rsidRDefault="00000000" w:rsidRPr="00000000" w14:paraId="0000003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Kejahilan ath-Thalibi di dalam memahami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وانتسب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واعتزى</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dianggap bukan bukti penerimaan terhadap madzhab salaf.</w:t>
      </w:r>
    </w:p>
    <w:p w:rsidR="00000000" w:rsidDel="00000000" w:rsidP="00000000" w:rsidRDefault="00000000" w:rsidRPr="00000000" w14:paraId="0000003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Kejahilan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Thalibi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انتساب</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تسمي</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Dzalika minhu</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tidak bermakna satu</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berargumen bahwa ucapan Syaikhul Islam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منه</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bermakna satu dan maknanya itu-itu juga. Ia mengkiaskan dengan :</w:t>
      </w:r>
    </w:p>
    <w:p w:rsidR="00000000" w:rsidDel="00000000" w:rsidP="00000000" w:rsidRDefault="00000000" w:rsidRPr="00000000" w14:paraId="0000003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mengandung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ditambah lagi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Memang benar bahwa kata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satu yaitu tertuju pada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di sini tidak serta merta demikian. Karena Al-Qur’an itu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Kalamullah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tidaklah Alloh berfirman melainkan ada suatu maksud dan tujuan serta hikmah di dalamnya. Dalam hal ini ada suatu penekanan, karena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annaka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sendiri telah tersimpan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disebut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 muttashil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ganti yang tampak dan berhubungan), lalu diikuti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 munfashil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ganti tampak yang terpisah). Sebenarnya menyebut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innakal 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Antal 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saja sudah cukup. Namun, mengapa Alloh tetap menggandengkan dua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muttashil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munfashil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Tentulah ada maksud dan hikmah-Nya, karena tidaklah Alloh menyebutkan dua kata yang sama melainkan memiliki makna dan tujuan tertentu, yang berfungsi mengukuhkan. Apabila dalam kalimat yang mengandung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mustatar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ganti tersembunyi) yang bersifat wajib saja berfungsi sebagai pengukuhan, misalnya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perintah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fi’il amr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wajib dimaksudkan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mukhtahab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 kedua yang diseru)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taqdir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(perkiraan)-nya pasti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if’al anta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Bermakna pengukuhan dan penekanan perintah, padahal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mustatir wajib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lantas bagaimana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telah tampak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muttashil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ditekankan dengan pengukuhan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munfashil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Qiyas ini dengan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tepat,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ismul isyarah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sama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menyimpan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orang ketiga).</w:t>
      </w:r>
    </w:p>
    <w:p w:rsidR="00000000" w:rsidDel="00000000" w:rsidP="00000000" w:rsidRDefault="00000000" w:rsidRPr="00000000" w14:paraId="0000003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أولائك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هم</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الخاسرون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Qiyas ath-Thalibi ini juga tidak tepat, dan pembahasannya serupa dengan pembahasan di atas. Hanyasaja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adalah lafazh isyarah untuk bentuk jamak yang jauh, baik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mudzakar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(pria)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mu’anats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(wanita) dan penggunaannya lazim digunakan sebagai isyarat kepada makhluk berakal (manusia, jin atau malaikat) dan jarang sekali digunakan sebagai isyarat makhluk tidak berakal. Dikarenakan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bisa untuk jamak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mudzakar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mu’anats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merupakan penjelas dan pengukuh.</w:t>
      </w:r>
    </w:p>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خالدين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ath-Thalibi maknanya satu,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kholidina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artinya mereka kekal masih ditambah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artinya abadi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 Ibnu Katsir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juz III, bab 87, hal. 169 dikatakan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يه</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yaitu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ساكنين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tinggal) atau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ماكثين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(menetap);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يحولون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ولا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يزولون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(senantiasa dan terus menerus). Imam Al-Alusi di dalam Tafsirnya (juz VII/189) dengan lebih tegas dan secara anggun menjelaskan maksud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خالدين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تأكيد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لما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يدل</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عليه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الخلود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ودفع</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احتمال</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يراد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منه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المكث</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الطويل</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(Memperkuat apa yang ditunjukkan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(kekal) dan menghilangkan kemungkinan dimaksudkannya ayat tersebut dengan maksud berdiam/tinggal dalam waktu lama).</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kalimat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وهم</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خالدون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(tanpa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خالدين</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فيها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أبد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memiliki penekanan yang berbeda. Di dalam tafsir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al-Bahrul Muhith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(I/142) dikatakan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terjadi perselisihan di tengah kaum muslimin, sebagian mu’tazilah memahaminya kekal untuk selama-lamanya, dan sebagian lagi memahaminya dengan waktu yang lama bisa terputus dan bisa tidak terputus. Oleh karena itulah lafazh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berfungsi sebagai penekan bahwa makna kekal di sini adalah abadi untuk selama-lamanya bukan untuk waktu yang lama.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klaim ath-Thalibi yang menyatakan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al-Khulud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al-Abad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bermakna satu dalam al-Qur’an kurang tepat. Sekiranya dikatakan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murodif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ada suatu titik penekanan berbeda di sana.</w:t>
      </w:r>
    </w:p>
    <w:p w:rsidR="00000000" w:rsidDel="00000000" w:rsidP="00000000" w:rsidRDefault="00000000" w:rsidRPr="00000000" w14:paraId="0000004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Firman Alloh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ath-Thalibi maknanya adalah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lagi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yang dimaksud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kembalinya satu, maka ucapan ath-Thalibi benar. Namun apabila ath-Thalibi memahami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maknanya satu, maka ini tidak benar.</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Tafsir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ath-Thobari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(tahqiq Syaikh Ahmad Syakir, surat al-Israa` : 14) dikatakan :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40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حسبك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اليوم</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نفسك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حاسبا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يحسب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أعمالك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فيحصيها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نبتغي</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شاهدا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غيرها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نطلب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محصيا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سواها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”Cukuplah pada hari ini bagi dirimu sendiri sebagai penghisab atasmu sendiri menurut atas hitungan/hisab amalmu, yang terhitung atasmu dan tidaklah layak bagimu menjadi saksi atas selainnya dan kami tidaklah menuntut atasmu menghitung selainnya.”</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Fathul Qodir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dikatakan bahwa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zaidah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(tambahan)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(penekanan). Sedangkan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حسيبا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adalah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حاسبا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tamyiz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Sibawaih berpendapat bahwa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ضريب</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القادح</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adalah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ضاربها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bisa juga bermakna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المحاسب</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dalam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al-Jaliis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asy-Syariik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an-Nafsu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nafsaka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bermakna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الشخص</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(individu/figur)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berfungsi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atas individu tersebut. Hal serupa juga disebutkan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 Nazhmud Duror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al-Baqo’i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 al-Lubab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Ibnu ’Adil dalam tafsir surat al-Isra’ ayat 14 di atas.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Khulashoh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tepat menyatakan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binafsika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didahului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kafa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(semakna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hasbuka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memiliki huruf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 zaidah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taukid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bermakna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syakhsh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memiliki makna yang sama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amalannya sendiri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haasib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(penghisab)...</w:t>
      </w:r>
    </w:p>
    <w:p w:rsidR="00000000" w:rsidDel="00000000" w:rsidP="00000000" w:rsidRDefault="00000000" w:rsidRPr="00000000" w14:paraId="0000004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r w:rsidDel="00000000" w:rsidR="00000000" w:rsidRPr="00000000">
        <w:rPr>
          <w:rtl w:val="0"/>
        </w:rPr>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بسمك</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اللهم</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وبحمدك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menurut ath-Thalibi apabila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kembali kepada Alloh dan sama dengan kalimat seruan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kembali kepada Alloh adalah benar. Namun, apabila dikatakan keduanya sama secara fungsi dan makna maka saya rasa kurang tepat.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adalah penegas dan pengukuh maksud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sebelumnya,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Allohumma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(seruan) yang tegas. Sesungguhnya apabila keduanya disamakan, maka menurut ath-Thalibi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 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kurang tepat] adalah sama. Padahal 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saja masih mengandung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ihtimal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(probabilitas) siapa yang dituju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tersebut, walaupun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bariz mukhothob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bukanlah seruan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mukhothob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lafazh Alloh di sini statusnya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sudah disebutkan secara tegas. Sedangkan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Bismika Allohumma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kalimat ini lebih tegas dan kuat,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 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kalimat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khithab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dipertegas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Alloh. 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dalam hal ini kurang tepat.</w:t>
      </w:r>
    </w:p>
    <w:p w:rsidR="00000000" w:rsidDel="00000000" w:rsidP="00000000" w:rsidRDefault="00000000" w:rsidRPr="00000000" w14:paraId="0000004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بارك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وبارك</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عليك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Fathul Bari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(XVIII/180) bab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ad-Du’a` lil Mutazawwij</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al-Hafizh membedakan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barokallohu 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 ’alaika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menyatakan bahwa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اد</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اصه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ته</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الث</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ول</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 lafazh pertama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barokallohu 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pengkhususan baginya berkah terhadap isterinya sedangkan lafazh kedua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baroka ‘alaika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kesempurnaan berkah atasnya.] hal yang serupa dijelaskan oleh penulis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Faidhul Qadir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(I/40).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kata yang sama, bahkan memiliki makna yang berbeda pada tiap kata yang diiringinya. Misalnya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maknanya jauh berbeda.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hujjah yang menyokong kita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melawan kita. Demikian pula apabila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pertama merupakan do’a kebaikan sedangkan yang kedua do’a keburukan.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benar-benar terheran-heran, bagaimana bisa ath-Thalibi berargumentasi dan berdalih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Saya rasa ath-Thalibi ini terlalu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(memberat-beratkan diri) di dalam menyokong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 fasid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(analogi rusak)-nya...</w:t>
      </w:r>
    </w:p>
    <w:p w:rsidR="00000000" w:rsidDel="00000000" w:rsidP="00000000" w:rsidRDefault="00000000" w:rsidRPr="00000000" w14:paraId="0000005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إن</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الحمد</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لله</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نحمده</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menurut ath-Thalibi maknanya satu, karena sudah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innal Hamda 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masih ditambah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nahmaduhu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 Fatawa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(IV/115) bab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Fashlu Ma’na Hadits Khuthbah al-Haajah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menjelaskan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syarh khutbah al-Haajah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begitu anggunnya. Diantaranya ucapan beliau di dalam menjelaskan tentang kalimat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Innal Hamda lillah nahmaduhu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atas.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40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”Alhamdulillah Nahmaduhu wa Nasta’inuhu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(Segala puji hanyalah milik Alloh yang kita menyanjung dan memohon pertolongan-Nya) selaras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Fatihatul Kitab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(surat al-Fatihah) yang terbagi menjadi dua bagian : bagian pertama adalah milik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Rabb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bagian kedua adalah milik hamba. Yang milik Rabb dibuka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bagian hamba dibuka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(meminta tolong) kepada Alloh dengan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Nahmaduhu wa Nasta’inuhu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diantara kejahilan ath-Thalibi –maaf- untuk kesekian kalinya. Ia menyamakan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 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nahmaduhu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orang yang pemula di dalam belajar Bahasa Arab saja sudah tahu, bahwa kedua makna ini berbeda...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inilah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qiyas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fasid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dikemukakan oleh ath-Thalibi untuk memperkuat argumennya, bahwa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bermakna satu. Apakah benar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bermakna satu? Mari kita telaah bersama...</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Sebelumnya kita kembali lagi kepada 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menyatakan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خوطب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أظهر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وانتسب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واعتزى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قبول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منه</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“Sampai-sampai ketika diseru salah seorang dari mereka, ia mengatakan  ‘Aku berada di atas madzhab salaf’ – dan inilah yang ia maksudkan,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kita katakan padanya : Tidaklah aib (tercela) bagi orang yang menampakkan madzhab salaf, bernisbat kepadanya dan berbangga dengannya.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Bahkan wajib menerima pernyataan tersebut darinya dengan kesepakatan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sesungguhnya tidaklah madzhab salaf itu melainkan kebenaran...”</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telah mendiskusikan masalah ini dengan beberapa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thullabatul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mendalami Bahasa Arab dan telah terbiasa dengan Bahasa Arab, maka hampir kesemua dari mereka yang saya ajukan pernyataan ucapan Syaikhul Islam ini tidak ada yang menyetujui pemahaman ath-Thalibi... bahkan mereka mengkritik pemahaman ath-Thalibi yang ganjil ini... baiklah mari kita urut analisa dan pembahasan ucapan Syaikhul Islam ini...</w:t>
      </w:r>
    </w:p>
    <w:p w:rsidR="00000000" w:rsidDel="00000000" w:rsidP="00000000" w:rsidRDefault="00000000" w:rsidRPr="00000000" w14:paraId="0000005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Syaikhul Islam di sini adalah dalam konteks sanggahan atau bantahan. Sebagaimana telah disebutkan di atas. Seakan-akan beliau menyanggah orang yang tidak mau menampakkan madzhab salaf apalagi yang menolak penisbatan madzhab salaf.</w:t>
      </w:r>
    </w:p>
    <w:p w:rsidR="00000000" w:rsidDel="00000000" w:rsidP="00000000" w:rsidRDefault="00000000" w:rsidRPr="00000000" w14:paraId="0000005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mengomentari orang yang menyatakan “Ana ‘ala madzhab salaf”, yang mana kata ini semakna dengan ucapan “Ana Salafiy” [sebagaimana perkataan “Ana ‘ala Madzhab Syafi’i” dengan “Ana Syafi’y”] dengan pernyataan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‘aiba...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jadi menyatakan “Ana ‘ala Madzhab Salafi” itu bukanlah suatu bentuk kesombongan. Bahkan syaikhul Islam memperbolehkannya dan bahkan memujinya, serta mengingkari orang yang menolaknya...</w:t>
      </w:r>
    </w:p>
    <w:p w:rsidR="00000000" w:rsidDel="00000000" w:rsidP="00000000" w:rsidRDefault="00000000" w:rsidRPr="00000000" w14:paraId="0000006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(Syaikhul Islam) menyatakan tidaklah tercela orang yang menampakkan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mengafiliasikan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berbangga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[Sebenarnya ketiga kata ini maknanya dekat] dengan madzhab salaf ketika beliau mengomentari ucapan orang yang menyatakan “Ana ‘ala Madzhab Salaf”...</w:t>
      </w:r>
    </w:p>
    <w:p w:rsidR="00000000" w:rsidDel="00000000" w:rsidP="00000000" w:rsidRDefault="00000000" w:rsidRPr="00000000" w14:paraId="0000006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melanjutkan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wajib menerima hal itu darinya]. Maksudnya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qobulu 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menerima pernyataan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qobulu qoulihi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 itu, yaitu pernyataannya yang menyatakan “Ana ‘ala madzhab salaf”,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kembali kepada orang yang mengucapkan “Ana ‘ala madzhab salaf”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Jadi maknanya,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qoulihi minhu ay minal qo`il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ini lebih jelas dan benar secara bahasa.</w:t>
      </w:r>
    </w:p>
    <w:p w:rsidR="00000000" w:rsidDel="00000000" w:rsidP="00000000" w:rsidRDefault="00000000" w:rsidRPr="00000000" w14:paraId="000000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dikatakan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ismul isyarah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mufrod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(singular),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kan bentuknya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(plural), seharusnya untuk menjelaskan ketiga hal ini tidak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kullun 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saya jawab, argumen ini berangkat dari orang yang jahil dengan Bahasa Arab,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terangkum dalam satu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statement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satu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merupakan bentuk penerimaan dari madzhab salaf, dimana Syaikhul Islam mengucapkannya ketika mengomentari seorang yang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bisa dikatakan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dzalika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kembali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(perkataan)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al-qo`il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 yang berkata) tersebut, dan ucapan itu dikomentari oleh Syaikhul Islam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 ‘aiba ‘ala man azhharo madzhab as-Salaf, wantasaba ilayhi wa’taza ilayhi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dimana syaikhul Islam menggambarkan bahwa perkataan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bentuk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i’tizaa` ila madzhab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ini bukanlah suatu cela,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yajibu qobulu dzalika minhu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wajib menerima pernyataan ini darinya, yaitu menerima ucapan dari orang itu.</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kesepakatan), maknanya yaitu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konsensus, yaitu wajib menerima pernyataan orang 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Lantas bagaimana apabila difahami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bittifaqin fiihi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dengan kata lain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(menyepakatinya) sebagaimana klaim ath-Thalibi? Saya jawab, secara bahasa memang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diartikan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untuk memahami suatu perkataan maka harus dikembalikan kepada konteks kalimat dan zhahir perkataan secara logis. Pembahasan ini akan saya turunkan pada sub bab tersendiri di bawah ini.</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maknanya adalah dengan kesepakatan</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Supaya kita bisa melihat konteks kalimat Syaikhul Islam, mari kita perhatikan lagi ucapan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قبول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علانيته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سريرته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نؤمر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بطونهم</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wajib menerima pernyataan tersebut darinya dengan kesepakatan, karena sesungguhnya tidaklah  madzhab salaf itu melainkan kebenaran.</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ia selaras dengan madzhab salaf secara bathin dan zhahir maka ia berada di atas kedudukan seorang mukmin yang berada di atas kebenaran secara bathin dan zhahir. Namun apabila ia hanya selaras dengan madzhab salaf hanya zhahirnya saja tanpa bathinnya, maka ia berada pada posisi munafik.</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diterima yang tampak darinya dan diserahkan apa yang ia rahasiakan kepada Alloh, karena sesungguhnya kita tidaklah diperintahkan untuk menilai hati-hati manusia dan menvonis apa yang ada pada bathin mereka.”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konteks di atas,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lebih dekat kepada makna dengan kesepakatan, hal ini dengan beberapa alasan :</w:t>
      </w:r>
    </w:p>
    <w:p w:rsidR="00000000" w:rsidDel="00000000" w:rsidP="00000000" w:rsidRDefault="00000000" w:rsidRPr="00000000" w14:paraId="0000006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Secara umum, apabila dikatakan oleh para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maknanya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ini adalah suatu hal yang tidak tersamar bagi para penuntut ilmu yang menekuni kitab-kitab para ulama terutama kitab fikih.</w:t>
      </w:r>
    </w:p>
    <w:p w:rsidR="00000000" w:rsidDel="00000000" w:rsidP="00000000" w:rsidRDefault="00000000" w:rsidRPr="00000000" w14:paraId="0000006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yang dimaksud oleh Syaikhul Islam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dengan menyepakatinya, tentunya Syaikhul Islam akan menggunakan makna yang tegas,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ucapan beliau setelahnya adalah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secara zhahir maupun bathin.</w:t>
      </w:r>
    </w:p>
    <w:p w:rsidR="00000000" w:rsidDel="00000000" w:rsidP="00000000" w:rsidRDefault="00000000" w:rsidRPr="00000000" w14:paraId="0000006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kita baca ucapan Syaikhul Islam berikutnya, kita dapati bahwa beliau menjelaskan tentang keselarasan seseorang dengan madzhab salaf, apabila selaras zhahir dan bathin maka ia bagaikan seorang mukmin sebenarnya, dan apabila hanya selaras secara zhahir saja maka ia bagaikan munafik. Hal ini merupakan poin penting 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ittifaq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apabila dimaknai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perlu ada penegasan di sini, jika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bil muwafaqoh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wajib menerimanya dengan menyepakatinya. Menyepakati bagaimana? Apabila menyepakati secara zhahir dan bathin maka ia bagaikan mukmin yang sebenarnya, dan apabila menyepakati secara zhahir saja maka ia bagaikan munafik dan tidak ada manusia yang mengetahui isi bathin seseorang. Apabila ada dua kondisi mukmin dan munafik, sedangkan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yajibu qobulu dzalika minhu bil ittifaq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wajib menerima pernyataan itu darinya dengan “menyepakatinya”, padahal menyepakati madzhab salaf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dalam posisi mukmin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pada posisi munafik, tentu saja makna ini tidak logis dan tidak benar.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itu tidaklah padanya melainkan hanyalah kebenaran.</w:t>
      </w:r>
    </w:p>
    <w:p w:rsidR="00000000" w:rsidDel="00000000" w:rsidP="00000000" w:rsidRDefault="00000000" w:rsidRPr="00000000" w14:paraId="0000006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penguat saja,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 wa Qowa’id fi Manhajis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Syaikh ‘Ubaid al-Jabiri, beliau kita menukilkan ucapan Syaikhul Islam di atas menyebutkan,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bal yajibu qobulu dzalika minhu ittifaqon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Ittifaqon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saja bermakna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penterjemah ucapan Syaikhul Islam Ibnu Taimiyah ini ke dalam buku-buku Bahasa Indonesia, belum pernah saya dapatkan model terjemahannya seperti ath-Thalibi. Padahal jelas mereka lebih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Bahasa Arab dibandingkan ath-Thalibi, sedangkan ath-Thalibi sendiri mengakui dengan jujur atas kekurangannya di dalam ilmu Bahasa Arab. Dalam hal ini, manakah yang kita terima, orang yang ahli dan berpengalaman dalam hal penterjemahan Bahasa Arab, ataukah seorang penuntut ilmu yang menyatakan kekurangan dirinya dalam hal Bahasa Arab?!!!!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Kejanggalan metode berfikir ath-Thalibi di dalam berargumentasi dengan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يكون</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حق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di dalam memperkuat argumennya berkata (DSDB2 hal. 149) : “Di bagian akhir kalimat, Syaikhul Islam membuat penegasan,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 Salaf la yakuunu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merupakan bukti jelas. Jika perhatiannya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i’tazza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lebih tepat jika ucapan tersebut diucapkan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azhhara madzhabas salaf, wa intisaba bihi wa i’tazza ilaihi, la yakununa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sesungguhnya, menampakkan madzhab salaf, berintisab kepadanya dan berbangga karenanya, tidaklah semua itu melainkan kebenaran.)” [selesai ucapan ath-Thalibi].</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kelucuan argumentasi ath-Thalibi untuk kesekian kalinya. Saya memiliki beberapa catatan ringan terhadap argumentasi ‘lucu’nya ini.</w:t>
      </w:r>
    </w:p>
    <w:p w:rsidR="00000000" w:rsidDel="00000000" w:rsidP="00000000" w:rsidRDefault="00000000" w:rsidRPr="00000000" w14:paraId="0000007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Pertama dari sini Bahasa, ucapan ath-Thalibi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azhhara madzhabas salaf, wa intisaba bihi wa i’tazza ilaihi, la yakununa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tidaklah benar secara gramatikal. Saya tidak tahu apakah beliau sengaja atau tidak sengaja menulis kata ini. Atau mungkin beliau kurang teliti sehingga melakukan kesalahan di dalam buku yang seharusnya sebelum diterbitkan diteliti dan diedit terlebih dahulu secara mendalam. Apabila ath-Thalibi menggunakan dari awal berbentuk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fi’il madhi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seharusnya semuanya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fi’il madhi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wawu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athof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sini, sehingga jadinya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azhhara madzhab as-Salaf wantasaba ilaihi wa’tazaa ilaihi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menggunakan bentuk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mashdar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jadinya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madzhab as-Salaf wantisaab ilaihi wa’tizaa` ilaihi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Kemudian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bermakna afiliasi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intasaba ila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intasaba bihi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Argumen ath-Thalibi di atas terlalu mengada-ada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intisaab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merupakan bentuk penerimaan terhadap madzhab salaf, dikarenakan madzhab salaf itu pasti haq, sehingga wajib menerima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salaf. Karena suatu yang haq maka haruslah ditampakkan, berafiliasi dengannya dan berbangga dengannya. Di sini tampak sekali ath-Thalibi melakukan pemisahan antara madzhab salaf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izhhaar, intisaab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kepadanya, dan pemisahan yang ia lakukan ini tanpa dalil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bayyinah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menafikan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madzhab salaf. Bahkan keduanya saling menguatkan dan menjelaskan. Dikarenakan madzhab salaf itu pasti haq maka perlu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kepadanya, dan meng</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salaf itu bukanlah suatu hal yang aib, karena madzhab salaf itu pasti haq.</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saya katakan bahwa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metode berdalil ath-Thalibi di atas untuk memisahkan antara kebenaran madzhab salaf dengan perlunya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 inna madzhab as-Salaf la yakunu illa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suatu hal yang aneh,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mengada-ada, lucu dan berangkat dari kejahilannya.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Kejahilan ath-Thalibi di dalam memahami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أظهر</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مذهب</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السلف</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وانتسب</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واعتزى</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1"/>
        </w:rPr>
        <w:t xml:space="preserve">إليه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dianggap bukan bukti penerimaan terhadap madzhab salaf.</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Sebenarnya pasal ini berkaitan dengan pasal di atas. Untuk lebih jelasnya mari kita telaah ucapan ath-Thalibi yang memisahkan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sebagai bentuk penerimaan madzhab salaf, dan ini adalah puncak kejahilan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Ath-Thalibi berkata (DSDB2 hal. 149)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“Secara syar’i, jika menampakkan, bernisbat dan berbangga kepada madzhab salaf dianggap sebagai kewajiban, maka hal itu harus didukung oleh dalil-dalil syar’i, baik dari Al-Qur’an maupun Sunnah.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Harus dicatat, menampakkan, bernisbat dan berbangga itu bagian dari perkara-perkara zhahir, bukan bukti penerimaan seseorang terhadap kebenaran madzhab Salafus Shalih.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ada dalil Syar’i yang berisi perintah (amr) untuk berbuat seperti itu? Untuk menentukan suatu perkara bersifat wajib jelas harus ada perintahnya. Seperti sebuah kaidah fiqih,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 aslu fil amri lil wujub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(Hukum asal perkara perintah  itu ialah menunjukkan kewajiban). Jika perkara-perkara zhahir di atas dianggap wajib, sungguh pasti akan terkenal di kalangan ahli ilmu. Dalam hadits shahih justru dijelaskan bahwa penampilan zhahir tidak menjadi ukuran, namun yang menjadi ukuran ialah keikhlasan hati.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“Sesungguhnya Allah tidak melihat ke tubuh-tubuh dan wajah kalian, namun Dia melihat ke hati-hati kalian.” (HR. Muslim).” [selesai ucapan ath-Thalibi]</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Sebuah pepatah mengatakan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Faaqidu Syai’ la yu’thii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yang tidak memiliki tidak dapat memberi), dan pepatah ini tepat sekali bagi ath-Thalibi. Namun anehnya, walau tidak memiliki, ath-Thalibi tetap bersikeras memberi, sehingga pemberiannya adalah suatu hal yang sia-sia dan tidak berfaidah, bahkan pemberian menunjukkan hakikat dirinya dan membongkar kedok keadaannya...</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Ucapannya di atas menunjukkan bahwa ia tidak menelaah ucapan Syaikhul Islam dan tidak bertabayun dengannya. Padahal, apabila ia hendak menulis sebuah buku, maka selayaknya baginya mempersiapkan diri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muthola’ah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(penelaahan)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tatsabut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Jangan hanya ia menuduh orang lain hanya bisa asal nukil sedangkan ia tidak mau bersusah-susah menukil... seharusnya ath-Thalibi ini malu dengan dirinya sendiri sebelum ia menuduh orang lain tidak punya malu... Apabila kita telaah ucapan Syaikhul Islam Ibnu Taimiyah, menunjukkan bahwa ucapan ath-Thalibi dan Syaikhul Islam saling bertolak belakang... bahkan ini bukti puncak kejahilan ath-Thalibi.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Miskin...</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Perhatikan kata yang ditebalkan pada ucapan ath-Thalibi, penebalan tersebut bukan dari saya, namun dari ath-Thalibi sendiri. Perhatikan bagaimana ia menyatakan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Harus dicatat, menampakkan, bernisbat dan berbangga itu bagian dari perkara-perkara zhahir, bukan bukti penerimaan seseorang terhadap kebenaran madzhab Salafus 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Kalimat ini jelas-jelas menyelisihi maksud Syaikhul Islam dan puncak kejahilannya yang memisahkan antara perkara zhahir bukan sebagai bukti penerimaan. Saya katakan ini adalah madzhab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murji’ah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dimana ath-Thalibi memisahkan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bathin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tidak ada yang mengetahui masalah bathin melainkan Alloh. Ahlus sunnah menilai seseorang adalah dari zhahirnya, sedangkan kita tidak dibebani untuk menilai seseorang dari bathinnya atau hatinya.</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ingin bertanya kepada ath-Thalibi, 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merupakan bukti penerimaan madzhab salaf, lantas seperti apakah bukti penerimaan itu? Apakah hanya cukup di dalam bathin? Padahal jelas-jelas Syaikhul Islam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 ‘aiba ‘ala man azhharo madzhabas salaf, wantasaba ilaihi wa’taza ilaihi, bal yajibu qobulu dzalika minhu bil ittifaq fa inna madzhabas salaf la yakunu ilaa haqqo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mengomentari orang yang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ana ‘ala madzhabis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bantahan terhadap kaum yang menyatakan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tasattur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(menyembunyikan) madzhab salaf.</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mungkin orang yang menampakkan madzhab salaf, berafiliasi padanya dan berbangga dengannya, dan tidaklah madzhab salaf itu melainkan pasti benar, yang konsekuensinya adalah menampakkan kebenaran, berafiliasi pada kebenaran dan bangga dengan kebenaran bukan termasuk penerimaan kepada kebenaran madzhab salaf?!! Apakah perkara zhahir itu bukan bukti penerimaan madzhab salaf? Padahal syaikhul Islam mengatakan :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الظاهر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بمنزلة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فتقبل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علانيته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سريرته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فإنا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نؤمر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قلوب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نشق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بطونهم</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ia selaras dengan madzhab salaf secara bathin dan zhahir maka ia berada di atas kedudukan seorang mukmin yang berada di atas kebenaran secara bathin dan zhahir. Namun apabila ia hanya selaras dengan madzhab salaf hanya zhahirnya saja tanpa bathinnya, maka ia berada pada posisi munafik.</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Maka diterima yang tampak darinya dan diserahkan apa yang ia rahasiakan kepada Alloh, karena sesungguhnya kita tidaklah diperintahkan untuk menilai hati-hati manusia dan menvonis apa yang ada pada bathin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Perhatikan ucapan Syaikhul Islam yang ditebalkan!!! Ini merupakan kaidah ahlus sunnah di dalam menilai, karena tidak ada seorang makhluk pun yang mengetahui tentang isi hati seseorang. Maka kewajiban kita adalah menilai dari zhahirnya, sedangkan bathinnya kita serahkan kepada Alloh. Maka zhahir di dalam menampakkan, berafiliasi dan berbangga dengan madzhab salaf adalah bukti kongkrit penerimaannya.</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Seakan-akan ath-Thalibi memaksudkan bahwa orang yang menampakkan, berafiliasi dan berbangga dengan madzhab salaf adalah munafik seluruhnya, karena yang penting adalah hati sedangkan itu hanyalah masalah zhahir belaka, dan Alloh tidak melihat dari zhahir manusia namun dari hati-hati manusia...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Kepada ath-Thalibi saya hanya bisa berkata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والنفس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كالطفل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تهمله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الرضاع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تفطمه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ينفطم</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Hawa nafsu itu bagaikan anak kecil, bila kau manjakan maka sampai besar</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ia akan terus senang menyusu dan bila kau hentikan maka akan berhenti</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hadits yang dikemukakan ath-Thalibi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أجسامكم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صوركم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ولكن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قلوبكم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وأعمالكم</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Alloh tidak melihat kepada badan kalian dan tidak pula kepada rupa kalian, namun Ia melihat kepada hati-hati kalian dan amal-amal kalian.” [HR. Muslim dan Ibnu Majah dari Abi Hurairoh]</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riwayat lain dikatakan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وأموال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ولكن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قلوبكم</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وأعمالكم</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Alloh tidak melihat kepada rupa-rupa kalian dan harta-harta kalian, akan tetapi Ia melihat hati dan amal-amal kalian.” [HR Ahmad (II/285,539), Muslim (VIII/11 : 2564, 34), Ibnu Majah (4143), Ibnu Hibban (394), Abu Nu’aim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al-Hilyah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(IV/98) dan Baghowi (4150) dari Abi Hurairoh).</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ini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mizan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amalan bahwa niat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mizan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suatu amal apakah diterima ataukah tidak, sebagaimana dijelaskan oleh Al-Hafizh Ibnu Rojab ketika mensyarah hadits ke-35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Jami’ul Ulum wal Hikam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berkata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لوب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حقيقتها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عز</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وأموال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ينظر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قلوبكم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وأعمالكم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وحينئذ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يكون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كثير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صورة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حسنة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رياسة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قلبه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خرابا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التقوى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ليس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شيء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قلب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مملوءا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أكرم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تعالى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asal takwa itu adalah di dalam hati, maka tidak seorangpun mengetahui hakikatnya melainkan hanya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sabda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“Sesungguhnya Alloh tidak melihat kepada rupa-rupa kalian dan harta-harta kalian, akan tetapi Ia melihat hati dan amal-amal kalian.” Dan saat itulah terkadang banyak orang yang memiliki rupa yang indah, atau harta (yang melimpah), atau kehormatan (yang tinggi) atau kedudukan di dunia namun hatinya kosong dari ketakwaan, dan kadang pula ada orang yang tidak memiliki sesuatu apapun dari hal-hal tersebut, namun hatinya dipenuhi dengan ketakwaan, maka ia menjadi orang yang paling mulia di sisi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Jami’ul Ulum wal Hikam,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35/24).</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Faidah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pembaca silakan lihat kata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ويكون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ليس</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شيء</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andaakan lihat bahwa kata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sini yang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ismul isyarah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mufrod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menggantikan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صورة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حسنة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مال</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جاه</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رياسة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kesemuanya itu bentuknya jama’ (plural), apakah ath-Thalibi akan memprotesnya untuk menggunakan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kullu 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sehingga jadinya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 yakunu man laysa lahu sya’i min kulli ula`ika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semisalnya...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Haihata haihata...</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penggunaan dalil hadits ini untuk mementahkan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madzhab salaf adalah suatu bentuk pendalilan yang tidak pada tempatnya. Karena menampakkan, berafiliasi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bukanlah bentuk fisik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jism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jasad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shuwar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(rupa), namun ia merupakan salah satu bentuk amal zhahir, dimana dalam hadits di atas dijelaskan bahwa Alloh melihat kepada hati dan amal. Lagipula ini adalah dalil yang merupakan hak milik Alloh untuk menilai hakikat bathin atau hati seorang hamba, sedangkan makhluk lainnya hanya bisa menilai dari zhahir. Karena zhahir adalah cermin dari bathin, apabila ia selaras maka ia adalah mukmin sejati, namun apabila ia tidak selaras maka ia bagaikan seorang munafik. Kita nilai zhahirnya dan kita serahkan bathinnya kepada Alloh.</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sini tampaklah bagaimana cara berdalil ath-Thalibi yang rusak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Allohul Musta’an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Kejahilan</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ath</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Thalibi</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dalam</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masalah</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انتساب</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1"/>
        </w:rPr>
        <w:t xml:space="preserve">تسمي</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Masalah ini sebenarnya telah saya jelaskan dalam risalah “Perisai Penuntut Ilmu”, namun ia semakin memperkokoh dirinya di dalam kejahilan dalam masalah ini. Hal ini nampak sekali bahwa ia tidak bisa membedakan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dimana dalam uraiannya (STSK hal. 149-150) ia membawa pemahaman Syaikhul Islam dalam ucapan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azhharo madzhab as-salaf, intasaba ilaihi wa’taza ilaihi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bentuk penampilan zhahir belaka. Padahal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izhhar, 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bukanlah berkaitan dengan penampilan zhahir belaka, namun pengamalan madzhab salaf : menampakkan madzhab salaf di dalam amalannya, berafiliasi atau bernisbat dengan madzhab salaf di dalam cara beragama, berakhlaq, beraqidah, bermanhaj, dst serta bangga dengan madzhab salaf karena madzhab salaf itu pasti benar.</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hal nisbat, maka menyebutkan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setelah nama, maka ini tidak ada kewajiban padanya. Saya belum pernah mendengar ada seorangpun ulama yang mewajibkan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tasammi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namun mereka mewajibkan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nisbat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as-Salaf di dalam beragama dan memahami agama. Walaupun ath-Thalibi memahami kata nisbat ketika diucapkan maka berkaitan dengan keterikatan suatu nama dengan perkara-perkara tertentu seperti negara, kota, suku dan lainnya, maka saya katakan, ini semua adalah tidak wajib. Sama pula dengan menyebut as-Sunni, as-Salafi ataupun al-Atsari. Ini semua merupakan bentuk penerimaan madzhab salaf : menampakkan madzhab salaf, bernisbat padanya dan berbangga dengannya.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masalah dakwaan, maka ini haruslah dipisahkan. Apabila ada orang menisbatkan diri kepada as-Salaf lalu ia menggunakan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 belakang namanya, sedangkan amalannya tidak menunjukkan hakikatnya, maka ini jatuhnya adalah pada dakwaannya belaka. Karena dakwaan tidak selamat begitu saja tanpa diiringi dengan bukti. Dengan demikian menyalahkan nisbat as-Salafi hanya karena kekurangan di dalam pengamalan kuranglah tepat. Masalah ini telah saya bahas panjang lebar dalam risalah sebelumnya.</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Bersambung –insya Alloh-</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9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