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Rabi’ bin Hadi al-Madkholi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السؤال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نستعمل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نستعمل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المعاملات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Pertanyaan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Kapankah kita mempergunakan sikap lemah lembut dan kapan kita bersikap keras di dalam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ilallôh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ketika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mu’âmalah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(berinteraksi) dengan manusia?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الجواب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والرفق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والحكمة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يعاند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وتقيم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الحجة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ويرفض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حينئذ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تستخدم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سلطانا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فتأدبه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القتل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فهناك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المذاهب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أشد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فسادا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قطاع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الحجة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فحينئذ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يلجأ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الحاكم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عقوبته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بالسجن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بالنفي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بالقتل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صفوان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المريسي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بالقتل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يعاند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ويصر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بدعته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نفعه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وتراجع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المطلوب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Hukum asal di dalam dakwah adalah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al-Lîyn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(lemah lembut),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ar-Rifq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(ramah)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al-hikmah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inilah yang asal di dalam dakwah.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barokallôhu fîka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anda temui orang yang menentang dan tidak mau menerima kebenaran padahal anda telah menegakkan hujjah padanya namun ia menolaknya, maka pada saat itu anda dapat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ar-Radd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(bantahan). Apabila anda adalah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sulthan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(penguasa) sedangkan orang tersebut adalah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da’î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menyeru kepada kebatilannya,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luruskan ia dengan pedang. Dan acapkali perlu sampai dihukum mati apabila ia tetap bersikeras menyebarkan kerusakannya. Dari sinilah ada sebagian ulama dari berbagai madzhab yang berpendapat bahwa orang semisal ini memiliki kerusakan yang lebih besar daripada orang yang merampok di jalanan. Orang semisal ini perlu dinasehati dan ditegakkan hujjah atasnya. Apabila ia masih enggan (menerima kebenaran), maka pada saat itu seorang penguasa (hâkim) syar’î harus menghukumnya, baik dengan memenjarakannya, menghentikannya atau membunuhnya. Para ‘ulamâ` menghukumi al-Jahm bin Shofwân dan selainnya, juga Bisyr al-Marîsî dan selainnya, agar dihukum mati (dibunuh)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barokallôhu fîka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 mereka juga adalah al-Ja’d bin Dirham. Ini adalah hukuman para ’ulamâ` terhadap orang-orang yang menentang dan bersikeras di dalam menyebarkan bid’ahnya. Apabila Alloh memberikannya menfaat dan mereka mau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tarôju’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(bertaubat), maka inilah yang dikehendaki.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[http://www.sahab.com]</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Abŭ Salmâ al-Atsarî 2007</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ff"/>
          <w:sz w:val="24"/>
          <w:szCs w:val="24"/>
          <w:u w:val="singl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w:t>
      </w:r>
      <w:r w:rsidDel="00000000" w:rsidR="00000000" w:rsidRPr="00000000">
        <w:fldChar w:fldCharType="begin"/>
        <w:instrText xml:space="preserve"> HYPERLINK "mailto:abu.salma81@gmail.com" </w:instrText>
        <w:fldChar w:fldCharType="separate"/>
      </w:r>
      <w:r w:rsidDel="00000000" w:rsidR="00000000" w:rsidRPr="00000000">
        <w:rPr>
          <w:rFonts w:ascii="Arial Narrow" w:cs="Arial Narrow" w:eastAsia="Arial Narrow" w:hAnsi="Arial Narrow"/>
          <w:b w:val="1"/>
          <w:i w:val="0"/>
          <w:smallCaps w:val="0"/>
          <w:strike w:val="0"/>
          <w:color w:val="0000ff"/>
          <w:sz w:val="24"/>
          <w:szCs w:val="24"/>
          <w:u w:val="single"/>
          <w:shd w:fill="auto" w:val="clear"/>
          <w:vertAlign w:val="baseline"/>
          <w:rtl w:val="0"/>
        </w:rPr>
        <w:t xml:space="preserve">abu.salma81@gmail.com</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dapat disebarluaskan dan dipublikasikan dalam berbagai bentuk selama dalam rangkaian tujuan dakwah, dan bukan untuk tujuan komersil. Harap cantumkan sumber penukilan apabila mempublikasikan atau menukil keseluruhan atau sebagian artikel ini sebagai amanat ilmiah.</w:t>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 dari 2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1733550</wp:posOffset>
          </wp:positionH>
          <wp:positionV relativeFrom="paragraph">
            <wp:posOffset>-52704</wp:posOffset>
          </wp:positionV>
          <wp:extent cx="3492500" cy="94996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92500" cy="949960"/>
                  </a:xfrm>
                  <a:prstGeom prst="rect"/>
                  <a:ln/>
                </pic:spPr>
              </pic:pic>
            </a:graphicData>
          </a:graphic>
        </wp:anchor>
      </w:drawing>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