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Abu Salma bin Burhan Yusuf</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00" w:right="521"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بسم</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الرحمن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left"/>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الحمد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نحمده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ونستعينه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ونستغفره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ونعوذ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شرور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أنفسنا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ئات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أعمالنا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مضل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يضلل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هادي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وأشهد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شريك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وأشهد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محمدا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عبده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ورسوله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segala puji hanya milik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kita memuji-Nya, kita memohon pertolongan dan pengampunan dari-Nya, yang kita memohon dari kejelekan jiwa-jiwa kami dan keburukan amal-amal kami. Saya bersaksi bahwasanya tiada Ilah yang Haq untuk disembah melainkan Ia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tiada sekutu bagi-Nya serta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‘alayhi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hamba dan utusan Allah.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Seringkali kita mendengar atau membaca ucapan-ucapan hikmah ulama salaf, terutama yang berkaitan dengan pensikapan terhadap ahli bid’ah. Misalnya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Al-Imam Al-Fudhail bin Iyyadh berkata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10101"/>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10101"/>
          <w:sz w:val="22"/>
          <w:szCs w:val="22"/>
          <w:u w:val="none"/>
          <w:shd w:fill="auto" w:val="clear"/>
          <w:vertAlign w:val="baseline"/>
          <w:rtl w:val="0"/>
        </w:rPr>
        <w:t xml:space="preserve">“Siapa yang duduk dengan ahli bid’ah maka berhati-hatilah darinya dan siapa yang duduk dengan ahli bid’ah tidak akan diberi Al- Hikmah. Dan saya ingin jika antara saya dan ahli bid’ah ada benteng dari besi yang kokoh. Dan saya makan di samping yahudi dan nashrani lebih saya sukai daripada makan di sebelah ahli bid’ah.” (Al Lâlikâ`i 4/638 nomor 1149)</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Al-Imam Hanbal bin Ishaq berkata, saya mendengar Abu Abdillah (Imam Ahmad) berkata :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10101"/>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10101"/>
          <w:sz w:val="22"/>
          <w:szCs w:val="22"/>
          <w:u w:val="none"/>
          <w:shd w:fill="auto" w:val="clear"/>
          <w:vertAlign w:val="baseline"/>
          <w:rtl w:val="0"/>
        </w:rPr>
        <w:t xml:space="preserve">“Tidak pantas seseorang itu bersikap ramah kepada ahli bid’ah, duduk dan bergaul dengan mereka.” (Al-Ibânah 2/475 nomor 495)</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Al-Imam Al Barbahary berkata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10101"/>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10101"/>
          <w:sz w:val="22"/>
          <w:szCs w:val="22"/>
          <w:u w:val="none"/>
          <w:shd w:fill="auto" w:val="clear"/>
          <w:vertAlign w:val="baseline"/>
          <w:rtl w:val="0"/>
        </w:rPr>
        <w:t xml:space="preserve">“Apabila tampak bagimu satu perkara bid’ah pada seseorang maka jauhilah dia sebab sesungguhnya yang dia sembunyikan darimu jauh lebih banyak dari yang dia tampakkan.” (Syarhus Sunnah 123 nomor 148)</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masih banyak lainnya…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ucapan para imam di atas adalah ucapan hikmah dan haq, sebagai upaya untuk menjaga kemurnian agama umat. Namun, suatu hal penting yang patut dicatat di sini adalah : ucapan para imam tersebut akan menjadi hikmah apabila ditempatkan pada proporsi dan tempatnya, sebab diantara makna hikmah adalah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wadh’u asy-Syai` fl mahallihi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(menempatkan sesuatu pada tempatnya). Sesuatu yang tidak ditempatkan pada tempatnya adalah sia-sia, bahkan dapat memadharatkan.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Ironinya, betapa sering kita lihat sebagian pemuda dan sahabat kita, yang dibakar oleh semangat tanpa ilmu, menerapkan ucapan para ulama salaf dengan serampangan dan asal-asalan. Ketika bertemu dengan saudaranya seislam ia tidak mau salam maupun menjawab salam, tidak mau senyum, bersikap kaku lagi keras, dan sifat-sifat buruk lainnya. Anehnya, ketika ditanyakan sebab mereka melakukan ini, mereka menjawab bahwa mereka sedang menerapkan ucapan ulama salaf untuk menjauhi ahli bid’ah dan bersikap keras terhadap mereka.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Parahnya lagi, terhadap sesama ahlus sunnah, mereka halalkan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ghîbah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(menggunjing)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tahdzîr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(memperingatkan dari kesesatan), mereka halalkan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muqôtho’ah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(pemboikotan)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hajr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(isolir), mereka halalkan sikap keras dan bengis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tabdî’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(menvonis bid’ah) terhadap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hizbî mubtadi’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sibukkan diri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tatabbu’ al-Aktho’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(mencari-cari kesalahan)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jarh wa ta’dîl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ditanya, maka jawaban yang meluncur adalah : </w:t>
      </w: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10101"/>
          <w:sz w:val="22"/>
          <w:szCs w:val="22"/>
          <w:u w:val="none"/>
          <w:shd w:fill="auto" w:val="clear"/>
          <w:vertAlign w:val="baseline"/>
          <w:rtl w:val="0"/>
        </w:rPr>
        <w:t xml:space="preserve">Bertetangga dengan yahudi dan nashrani lebih aku sukai daripada bertetangga dengan pengekor hawa nafsu (ahli bid’ah) karena ini menyebabkan hatiku berpenyakit</w:t>
      </w: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 (Ucapan Imam Abu Musa dalam Al-Ibânah 2/468 nomor 469) dan ucapan semisal...</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Akhirnya syiar mereka terhadap siapa saja yang menyelisihi mereka adalah :</w:t>
      </w:r>
    </w:p>
    <w:p w:rsidR="00000000" w:rsidDel="00000000" w:rsidP="00000000" w:rsidRDefault="00000000" w:rsidRPr="00000000" w14:paraId="00000018">
      <w:pPr>
        <w:pStyle w:val="Heading1"/>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tab/>
        <w:tab/>
        <w:tab/>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nasab pada hari ini dan tidak pula hubungan persahabatan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Perpecahan benar-benar telah melebar atas keretakan yang ada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Al-Ustadz Abu Sumayyah, ‘Abdur Ra’ŭf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mengabarkan : Setelah menyelesaikan ibadah ‘Umrah dengan keluargaku pada hari Kamis malam, 5 Juli 2007, saya menghadiri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durus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(pelajaran) Fadhîlatusy Syaikh Shâlih bin Muhammad al-Luhaidân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(ketua Mahkamah Tinggi Agama Arab Saudi) di al-Haram al-Makki pada hari Jum’at  Juli 2007 ba’da sholat Maghrib. Syaikh ketika itu menyampaikan ceramah yang bermanfaat tentang rukun Islam, kemudian diikuti sesi tanya jawab. Syaikh ditanya dalam salah satu sesi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“Apa pandangan anda terhadap beberapa pemuda yang menggunakan ucapan para salaf berkenaan tentang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hajr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tahdzîr</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terhadap ahli bid’ah, dalam rangka untuk menjustifikasi (membenarkan)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hajr</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dan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tahdzîr</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mereka terhadap ahli sunnah, yang memiliki beberapa perbedaan dalam beberapa masalah dengan mereka (yang tidak melibatkan perbuatan bid’ah) atau di dalam suatu perkara yang ada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ikhtilâf</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pendapat di dalamnya?”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menjawab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“Pemahaman ini tidak benar dan seorang thôlibul ‘ilmi tidak boleh mengikuti cara seperti ini di dalam berhubungan dengan orang-orang yang berbeda dengannya. Perbuatan ini disebabkan oleh karena kesesatan dan kejâhilan para pemuda ini. Allôhu a’lam” [http://madeenah.com]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benar apa yang dinyatakan oleh Fadhîlatusy Syaikh Shâlih bin Muhammad al-Luhaidân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hafizhahullâhu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tindakan seperti itu bukanlah tindakan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thôlibul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tidak lebih tindakan dari para pemuda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jâhil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bersikap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muta’âlim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(sok berilmu) !!! Dan sikap seperti ini sungguhlah jauh dari sifat dan hakikat salaf. [Masalah hakikat dan sifat salaf, akan saya turunkan tersendiri dari buku al-‘Allâmah asy-Syaikh Zaid bin Muhammad bin Hâdi al-Madkholî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Quthŭf min Nu’ŭtis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Allôh memudahkannya].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52705</wp:posOffset>
            </wp:positionV>
            <wp:extent cx="1457325" cy="98107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57325" cy="981075"/>
                    </a:xfrm>
                    <a:prstGeom prst="rect"/>
                    <a:ln/>
                  </pic:spPr>
                </pic:pic>
              </a:graphicData>
            </a:graphic>
          </wp:anchor>
        </w:drawing>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Copyright Maktabah Abu Salma al-Atsari 2007</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abu.salma81@gmail.com</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Artikel ini adalah publikasi online dari Maktabah li Tahmil (Download Library) Abu Salma al-Atsari. Artikel ini dapat disebarluaskan dan dipublikasikan dalam berbagai bentuk selama dalam rangkaian tujuan dakwah, dan bukan untuk tujuan komersil. Harap cantumkan sumber penukilan apabila mempublikasikan atau menukil keseluruhan atau sebagian artikel ini sebagai amanat ilmiah. Koreksi, saran, nasehat dan kritik dapat dikirimkan kepada Abu Salma al-Atsari.</w:t>
      </w:r>
    </w:p>
    <w:sectPr>
      <w:headerReference r:id="rId7" w:type="default"/>
      <w:footerReference r:id="rId8"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Trebuchet M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4 dari 4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1733550</wp:posOffset>
          </wp:positionH>
          <wp:positionV relativeFrom="paragraph">
            <wp:posOffset>-52704</wp:posOffset>
          </wp:positionV>
          <wp:extent cx="3492500" cy="949960"/>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92500" cy="949960"/>
                  </a:xfrm>
                  <a:prstGeom prst="rect"/>
                  <a:ln/>
                </pic:spPr>
              </pic:pic>
            </a:graphicData>
          </a:graphic>
        </wp:anchor>
      </w:drawing>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360" w:lineRule="auto"/>
      <w:jc w:val="center"/>
    </w:pPr>
    <w:rPr>
      <w:rFonts w:ascii="Verdana" w:cs="Verdana" w:eastAsia="Verdana" w:hAnsi="Verdana"/>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