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ff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أقسام</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فيما</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يجب</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حقهم</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الولاء</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والبراء</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0"/>
        </w:rPr>
        <w:t xml:space="preserve">JENIS MANUSIA YANG WAJIB DIBERIKAN WALA’ DAN BARO’</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لفضيلة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فوزان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الفوزان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Fadhilatus Syaikh Shalih bin Fauzan bin ‘Abdillah al-Fauzan </w:t>
      </w: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hafizhahullahu</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أقسام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Manusia dalam permasalahan al-wala’ wal baro’ terbagi atas tiga bagian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يحب</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خالصة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معادة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معها</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Jenis Pertama : Mereka Yang dicintai dengan kecintaan yang murni tanpa disertai suatu permusuhan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الأنبياء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والصديقين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والشهداء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والصالحين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النفس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زوجاته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أمهات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الطيبين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وصاحبته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خصوص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الخلفاء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الراشدين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وبقية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العشرة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والمهاجرين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والأنصار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الرضوان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وأئمتها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كالأئمة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kaum mukminin sejati seperti para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shiddiqun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orang-orang yang shalih. Dan yang terdepan diantara mereka adalah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diwajibkan mencintai beliau lebih besar daripada kecintaan terhadap diri sendiri, anak, orang tua dan manusia secara umum. Kemudian isteri-isteri beliau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ummahatul mu’minin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kaum mukminin),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bait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yang baik dan para sahabatmya yang mulia, khususnya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khulafaur rasyidin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sepuluh sahabat (yang dijanjiikan masuk surga), kaum Muhajirin dan Anshar,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Ahli Badr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(veteran perang Badar)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ahli ba’iat Ridhwan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pernah membai’at Nabi di Baitur Ridhwan), kemudian para sahabat yang lainnya, semoga Alloh meridhai mereka semua. Lalu para tabi’in dan generasi yang memiliki keutamaan serta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umat ini dan imam-imamnya semisal imam yang empat.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orang-orang yang datang sesudah mereka (Muhajirin dan Anshar) mereka berdo’a : Ya Tuhan kami, berilah kami ampunan dan saudara-saudara kami yang telah beriman lebih dahulu dari kami dan janganlah Engkau membiarkan kedengkian dalam hati kami terhadap orang-orang yang beriman; Ya Tuhan kami, sesungguhnya Engkau Maha Pengampun lagi Maha Penyayang.”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 Hasyr :10).</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الزيغ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كالرافضة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boleh bagi orang yang di hatinya masih memiliki keimanan membenci shahabat dan para (ulama) salaf di kalangan  umat ini. Dan sesungguhnya orang-orang yang membenci mereka itulah orang-orang yang hatinya cenderung kepada kesesatan, kaum munafik dan musuh-musuh Islam seperti golongan Rafidhah dan Khawarij.</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ويعادي</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ومعاداة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خالصين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موالاة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معهما</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Jenis Kedua : Mereka yang dibenci dan dimusuhi dengan sebenar-benarnya benci dan permusuhan yang murni tanpa disertai suatu kecintaan dan loyalitas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والمشركين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والمنافقين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والمرتدين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والملحدين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أجناسهم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kaum kafir tulen dari golongan orang kafir, musyrik munafik, kaum murtad dan kaum yang menentang Islam dari berbagai golongan. Sebagaimana  firman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الآخ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“Kamu tidak akan mendapati suatu kaum yang beriman kepada Allah dan hari akhirat saling berkasih sayang dengan orang-orang yang menentang Allah dan RasulNya sekalipun orang-orang itu bapak-bapak, anak-anak, saudara-saudara atau pun keluarga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Al-Mujadalah : 22).</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إسرائيل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mencela Bani Israil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ـك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“Kamu melihat kebanyakan dari mereka tolong-menolong dengan orang-orang kafir (musyrik). Sesungguhnya amat buruklah apa yang mereka sediakan untuk diri mereka, yaitu kemurkaan Allah kepada mereka dan mereka akan kekal dalam siksaan. Sekiranya mereka beriman kepada Allah, kepada Nabi (Musa) dan kepada apa yang diturunkan kepadnya (Nabi), niscaya mereka tidak akan mengambil orang-orang musyrikin itu menjadi penolong-penolong, tapi kebanyakan dari mereka adalah orang-orang fasik.”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Al-Maidah : 80-81).</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2"/>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يحب</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وجه</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ويبغض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وجه</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Macam Ketiga : Mereka yang dicintai pada satu sisi dan dibenci pada sisi lain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فتجتمع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المحبة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والعداوة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عصاة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ويبغضون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المعصية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ومحبتهم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تقتضي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مناصحتهم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والإنكار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السكوت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معاصيهم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ويؤمرون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بالمعروف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وينهون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وتقام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والتعزيرات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معاصيهم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ويتوبوا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سيئاتهم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ويتبرأ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مرتكب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الكبيرة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ويوالون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وموالاة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خالصين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المرجئة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يعتدل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dalam dirinya terhimpun adanya suatu kecintaan dan permusuhan, dan mereka itu adalah oran-orang mukmin yang bermaksiat. Mereka dicintai karena ada pada mereka keimanan dan dibenci karena ada pada mereka kemaksiatan yang bukan termasuk kakafiran dan kemusyrikan. Mencintai mereka berkonsekuensi menasehati mereka dan mengingkari perbuatan maksiat yang mereka lakukan, maka tidak boleh mendiamkan kemaksiatan mereka, bahkan harus mengingkarinya, dan mereka diperintah kepada yang ma’ruf dan dilarang dari yang mungkar serta ditegakkan atas mereka hukuman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sehingga mereka jera dari kemaksiatan dan bertaubat dari kejahatan. Akan tetapi mereka tidaklah dibenci dengan kebencian yang sepenuhnya dan berlepas diri dari mereka, sebagaimana yang diperpegangi oleh khawarij dalam masalah orang yang melakukan dosa besar yang tidak sampai pada perbuatan syirik. Mereka juga tidak dicintai dan diberikan loyalitas dengan sepenuhnya sebagaimana yang diperpegangi oleh murji’ah, namun hendaknya adil dalam melihat urusan mereka sebagaimana yang telah kami sebutkan, seperti apa yang ada dalam mazhab Ahlussunnah wal jama’ah.</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أوثق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الوضع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ومعاداتهم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مطامع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مطامع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أدنى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وضايقوه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واحتقروه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Cinta karena Alloh dan benci karena Alloh adalah tali keimanan yang sangat kuat, dan seseorang itu akan bersama dengan orang yang ia cintai pada hari kiamat sebagaimana dalam sebuah hadits. Namun sungguh situasi dan keadaan telah berubah, kini mayoritas manusia bersikap loyal dan memusuhi hanya karena urusan dunia. Orang yang memiliki kekuasaan kenikmatan dunia mereka berikan wala’ kepadanya meskipun orang tersebut adalah musuh Allah, Rasul-Nya dan musuh kaum muslimin. Sedangkan orang yang tidak memiliki kekuasaan kenikmatan duniawi mereka memusuhinya, meski orang tersebut adalah wali Allah dan setia terhadap Rasul-Nya, bahkan dikarenakan sebab yang sepele mereka mengucilkannya dan menghinakannya. Abdullah bin Abbas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وأبغض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ووالى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وعادى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فإنما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تنال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ولاية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صارت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مؤاخاة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يجدي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أهله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شيئ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mencintai karena Allah, membenci karena Allah, berwala’ karena Allah dan memusuhi karena Allah, maka sesungguhnya wilayah (kekuasaan) Alloh dapat dicapai dengannya. Dan sungguh betapa banyak manusia mengikat tali persaudaraan hanya karena perkara dunia dan yang demikian ini tidaklah mendatangkan suatu manfaat pun bagi pelakunya sedikitpun.” (Diriwayatkan oleh Ibnu Jarir)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Hurairoh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berkata,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 Ta’ala berfirman : Barangsiapa memusuhi waliKu, maka sungguh Aku telah mengumumkan perang padanya.”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Al-Bukhari).</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محاربة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وتنقصهم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paling besar permusuhanna kepadapara  Allah adalah orang yang memusuhi, mencela dan merendahkan martabat sahabat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bersabda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تتخذوهم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يأخذه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“Demi Allah, demi Allah, dalam perkara sahabatku, janganlah kalian menjadikan mereka sebagai sasaran (cemoohan dan ejekan), barangsiapa menyakiti mereka maka sungguh dia telah menyakiti aku, dan barangsiapa menyakiti aku maka sungguh ia telah menyakiti Allah, dan barangsiapa menyakiti Allah dikhawatirkan Allah akan menyiksanya.”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Tirmidzi dan selainnya)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معاداة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الطوائف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نعوذ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غضبه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وأليم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ونسأله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العفو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والعافية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sungguh. sikap memusuhi dan mencela sahabat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kini telah menjadi agama dan aqidah bagi sebagian kelompok sesat. Kita berlindung kepada Allah dari kemurkaannya dan pedih siksanya. Semoga shalawat dan salam selalu tercurah atas Nabi Muhammad, para keluarganya, para sahabatnya dan yang mengikutinya dengan baik.</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Dialihbahasakan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الولاء</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والبراء</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karya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Fadhilatusy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Syaikh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Shalih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Fauzan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Fauzan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Softcopy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download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sahab</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org</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72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5</w:t>
      <w:tab/>
      <w:t xml:space="preserve">11/07/2007</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line="360" w:lineRule="auto"/>
      <w:jc w:val="left"/>
    </w:pPr>
    <w:rPr>
      <w:b w:val="1"/>
      <w:i w:val="1"/>
      <w:smallCaps w:val="0"/>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