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BERPUASA, BER’IDUL FITRI DAN IDUL ADHA BERSAMA PEMERINTAH, BUKAN BERSAMA ORGANISASI TERTENTU</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Oleh : Ustadz Mubarak Bamuallim</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(Dosen Mahad Ali bin Abi Thalib/Mahad Ali Al-Irsyad As-Salafi  Surabaya)</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Perlu diketahui oleh segenap kaum muslimin; sejak zaman Rasulullah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shallallahualaihi wasallam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Khulafaur Rasyidin; Abu Bakar, Umar, Utsman dan Ali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serta penguasa-penguasa kaum muslimin lainnya bahwa idul fitri</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(1)</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selalu ditetapkan oleh para Waliyyul Amr (penguasa kaum muslimin). Mengapa demikian? karena Idul fitri--  demikian pula puasa Ramadhan dan ‘Idul Adha-- adalah ibadah yang bersifat kolektif bersama seluruh kaum muslimin.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shallallahualaihi wasallam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“Puasa itu pada hari (ketika) kalian semua berpuasa, Idul fitri pada hari ketika kalian semua beridulfitri dan Idul Adha ketika kalian semua beriduladha” (Hadits Riwayat Tirmidzi dalam “Sunannya no : 633  dan dishahihkan oleh al-Albani dalam “Silsilah ash-shahihah no : 224).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Aisyah radhiyallahu anha berkata :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“Hari Raya Kurban ketika manusia berkorban dan hari Idul Fitri ketika manusia beridulfitri”.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Demikian pula sejak zaman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shallallahualaihi wasallam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sampai hari ini seluruh Negara muslim menetapkan permulaan puasa Ramadhan, Idul Fitri dan Idul Adha berdasarkan  hilal, kecuali salah satu organisasi di negeri kita yang katanya; mengajak umat kepada al-Qur’an dan as-Sunnah tetapi dalam masalah ini meleset dari ajaran keduanya, hanya kepada Allah kita mengadu.</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Setelah membawakan hadits di atas, Imam Tirmidzi  berkata :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يث</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“Sebagian ulama mentafsirkan hadits ini dengan mengatakan, makna hadits ini bahwasanya puasa dan Idul Fitri dilaksanakan bersama jama’ah dan mayoritas umat Islam”.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Ash-Shan’ani berkata :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“(Dalam) hadits ini terdapat dalil bahwasanya ketetapan Id akan dianggap, jika sesuai dengan seluruh kaum muslimin dan bahwasanya seorang yang secara sendirian mengetahui hari Id dengan melihat (hilal), wajib baginya menyesuaikan dengan yang lainnya, dan merupakan kelaziman baginya hukum mereka dalam shalat, berbuka dan berkorban (Subulussalam 2/462).</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“Tahdziibus Sunan”, Ibnul Qayyim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dikatakan bahwa dalam hadits ini terdapat bantahan terhadap orang yang berpendapat bahwa seseorang yang mengetahui terbitnya bulan (munculnya hilal) dengan hisab (perhitungan) manaazil qamar, boleh baginya berpuasa dan berbuka sementara yang tidak mengetahui tidak boleh”.( Tahdziib as-Sunan 3/214).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“Hasyiyah Ibnu Majah” Abu Hasan as-Sindi berkata setelah menyebut hadits di atas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“Yang tampak dari makna hadits ini bahwasanya hal-hal seperti ini (penentuan awal puasa, Idul Fitri dan Idul Adha) bukan urusan perorangan dan mereka tidak bisa berbuat secara sendirian, akan tetapi urusannya diserahkan kepada penguasa/pemerintah dan jama’ah kaum muslimin dan wajib bagi perorangan mengikuti pemerintah dan jama’ah kaum muslimin”.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Syaikhul Islam Ibnu Taimiyyah berkata :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يث</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الحادثين</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الث</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از</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يق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وم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1"/>
        </w:rPr>
        <w:t xml:space="preserve">ٌ</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kita mengetahui secara pasti dari ajaran Islam bahwa pelaksanaan hal-hal yang berkaitan dengan hilal seperti puasa, haji, masa ‘iddah, ilaa’ (bersumpah untuk tidak mengumpuli isteri pada batas waktu tertentu) dan yang lainnya-- pelaksanaan hal-hal tersebut – dengan berita seorang ahli hisab bahwa (hilal) bisa dilihat atau tidak bisa dilihat,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tidak boleh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Nash-nash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dari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shallallahualaihi wasallam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masalah terkait sangat banyak dan kaum muslimin telah sepakat tentangnya dan tidak pernah diketahui adanya khilaf sama sekali baik dahulu maupun sekarang. Hanya saja, sebagian orang yang belajar fikih yang datang kemudian setelah tiga abad pertama menganggap jika tidak kelihatan hilal, maka boleh bagi ahli hisab untuk mengamalkan hasil hisabnya untuk dirinya sendiri. Jika hisab menunjukan terlihatnya hilal, ia berpuasa dan jika tidak maka tidak boleh.</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Pendapat ini, meskipun berkaitan dengan kondisi tertutupnya hilal oleh awan dan husus berlaku bagi ahli hisab, namun pendapat ini syadz (aneh) dan telah didahului oleh ijma’ kesepakatan kaum muslimin yang bertolakbelakang dengannya.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mengikuti hisab dalam kondisi cuaca cerah atau menggantungkan hukum yang bersifat umum dengannya (dengan hisab), maka tidak ada seorang muslimpun yang berpendapat demikian.</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( 2)</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tab/>
        <w:t xml:space="preserve">Perlu ditambahkan di sini, bahwa tidak ada dalil baik dari al-Qur’an, hadits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shallallahualaihi wasallam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ijma’ ulama muslimin dan petunjuk para salaf yang shaleh dari kalangan Sahabat,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Tabi’ Tabi’in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 penentuan awal puasa Ramadhan, idul Fitri dan Idul Adha di tangan pimpinan organisasi.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Semoga tulisan yang sederhana ini dapat membuka hati dan alam pikiran kita untuk lapang mengikuti kebenaran yang berdasarkan pada dalil dan bukan hawa nafsu.  Dan semoga kita diberi petunjuk kepada kebenaran, amiin.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Foot Note :</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707"/>
        </w:tabs>
        <w:spacing w:after="0" w:before="0" w:line="240" w:lineRule="auto"/>
        <w:ind w:left="707" w:right="0" w:hanging="283"/>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Juga penetapan puasa dan idul adha.</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707"/>
        </w:tabs>
        <w:spacing w:after="0" w:before="0" w:line="240" w:lineRule="auto"/>
        <w:ind w:left="707" w:right="0" w:hanging="283"/>
        <w:jc w:val="left"/>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Majmu’ Fatawa Syaikhul Islam Ibn Taimiyyah 25/132-133, Kami katakan: kecuali beberapa gelintir pemikir beberapa organisasi Islam di Indonesia, hanya kepada Allah kita mengadu keanehan mereka.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pgSz w:h="16837" w:w="11905" w:orient="portrait"/>
      <w:pgMar w:bottom="1134" w:top="1134"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707"/>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0" w:firstLine="1414"/>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decimal"/>
      <w:lvlText w:val="%3."/>
      <w:lvlJc w:val="left"/>
      <w:pPr>
        <w:ind w:left="0" w:firstLine="2121"/>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0" w:firstLine="2828"/>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decimal"/>
      <w:lvlText w:val="%5."/>
      <w:lvlJc w:val="left"/>
      <w:pPr>
        <w:ind w:left="0" w:firstLine="3535"/>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decimal"/>
      <w:lvlText w:val="%6."/>
      <w:lvlJc w:val="left"/>
      <w:pPr>
        <w:ind w:left="0" w:firstLine="4242"/>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0" w:firstLine="4949"/>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decimal"/>
      <w:lvlText w:val="%8."/>
      <w:lvlJc w:val="left"/>
      <w:pPr>
        <w:ind w:left="0" w:firstLine="5656"/>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decimal"/>
      <w:lvlText w:val="%9."/>
      <w:lvlJc w:val="left"/>
      <w:pPr>
        <w:ind w:left="0" w:firstLine="6363"/>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