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0"/>
        </w:rPr>
        <w:t xml:space="preserve">CERMIN SALAFỈ SEJATI</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Sebuah Pengantar</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Banyak orang mengaku-ngaku sebagai “Salafî” atau “Ahlus Sunnah”. Namun, sayangnya pengakuan mereka ini hanyalah sekedar pengakuan belaka tanpa diiringi dengan bukti dan hujjah atas klaim mereka. Apalagi sebagian mereka masih jâhil terhadap hakikat dan sifat salafî sejati, namun dengan bangganya sebagian mereka ini mengaku sebagai satu-satunya salafî dan selainnya adalah mubtadi’ (ahli bid’ah).</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fenomena ini adalah fenomena yang banyak dan tampak di depan mata. Sebagian kaum yang mengaku-ngaku salafî itu, bersikap keras dan bengis terhadap saudara mereka se-Islâm. Mereka tidak mau menjawab salam apalagi memberi salam. Wajah mereka dingin dan tidak mudah senyum. Apabila berbicara, yang senantiasa keluar dari lisan mereka adalah, “Fulan dan Fulan seperti ini”, “Fulan dan Fulan melakukan ini” dan senantiasa berkisar terhadap Fulan dan Fulan… tanpa mengingkari perlunya membicarakan tentang perseorangan yang memang hajat memerlukannya.</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Sayangnya, dengan semangat membara dan berkobar, menghantam sana sini tanpa ilmu, mereka merasa yakin bahwa mereka berada di atas al-Haq. Hal inilah yang menyebabkan mereka susah untuk dinasehati atau menerima nasehat dari orang lain. Alasan mereka adalah, semua ucapan selain “salafî” menurut anggapan mereka adalah syubuhât yang patut diwaspadai. Akhirnya, umatpun mengambil kesimpulan, bahwa salafî adalah aliran keras lagi bengis, hanya karena melihat ulah sekumpulan oknum tidak berilmu ini.</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Berikut ini adalah penjelasan Fadhîlatusy Syaikh Zaid bin Mu ĥammad bin Hâdi al-Madkholî, yang saya sarikan dari buku beliau yang sangat bermanfaat, “Quthūf min Nu’ūtis Salaf wa Mumayyizât Manhajuhum fî Abwâbil ‘Ilmi wal ‘Amal” [Dârul Manhaj, cet. I, 1424]. Buku ini walaupun tipis namun sarat akan faidah dan manfaat. Di dalamnya beliau menjelaskan hakikat salafî dan manhaj mereka yang khas di dalam ilmu dan amal. Di dalam buku ini, beliau terangkan hakikat manhaj salaf yang sebenarnya, yang semoga orang yang antipati dengan manhaj salaf menjadi simpati, dan orang yang mengaku-ngaku sebagai salafî namun amal dan ilmunya tidak mencerminkannya mau berkaca.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Akhirnya, semoga apa yang saya tulis ini dapat bermanfaat, baik untuk diri saya pribadi maupun untuk ummat Islâm.</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Hakikat Salaf dan Sifat Mereka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 mereka adalah para sahabat Rasŭlullâh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Shallâllâhu ‘alaihi wa Sallam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yang hidup pada masa beliau, yang menimba agama yang lurus ini dari beliau secara langsung dari sumbernya yang segar, baik dalam keilmuan dan amal, maupun dalam akhlak dan perangai.  Merekalah yang pantas untuk disandarkan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laqob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(julukan) yang agung dan sifat yang mulia ini, termasuk pula setiap orang yang meniti di dalam meneladani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Semoga Allôh meridhai mereka dan menerangi makam mereka- walaupun mereka berada di zaman ini ataupun sebelumnya ataupun setelahnya sampai hari kiamat kelak.</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atas pemahaman yang benar inilah, kalimat ahli ilmu bersatu dan mereka menegaskan bahwa siapa saja yang memusuhi mereka dengan cara menyelisihi mereka, baik dengan nama, bentuk maupun perbuatan, maka sesungguhnya orang tersebut tidaklah termasuk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walaupun mereka hidup di tengah-tengah mereka dan sezaman dengan hari-hari kehidupan mereka (baca : para sahabat).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Benar! Sesungguhnya setiap penuntut ilmu yang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munshif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(obyektif), akan menyaksikan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as-Salaf ash-Shôlih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para pengikut mereka yang mewarisi ilmu dari mereka dan meniti jalan mereka, sesungguhnya mereka adalah manusia yang paling berlimpah ilmunya, paling tulus/bersih jiwanya, paling agung nasehatnya dan paling terang jalan dan manhajnya di segala hal baik ‘ilmu dan ‘amal, karena mereka adalah para imam pemberi fatwa tentang segala urusan umat di setiap zaman dan tempat.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orang yang menjaga hak yang berkaitan dengan kehormatan, darah dan harta benda.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pemilik karya tulis yang lurus, yang dengannya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maktabah-maktabah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(perpustakaan) dan tempat peredaran ilmu bersinar berkilauan yang dapat menyembuhkan penyakit dan menghilangkan dahaga.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para pendidik syar’îyyah dan pengajar ilmu yang bermanfaat lagi kokoh yang mensucikan jiwa dan menghidupkan hati.</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para penegak jihad yang membawa kalimat jihad kepada makna sesuai dengan batasan syariat yang mulia.</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ahlun nuhâ</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(orang-orang berakal) dan pemilik hikmah dan ihsân di dalam manhaj da’wah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ilallôh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jihad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fi sabîlillâh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al-Amru bil Ma’rŭf wan Nahyu ‘anil Munkar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dengan kepemimpinan,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dhawâbit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(kriteria), batasan dan tingkatannya. Karena itulah, mereka tidaklah sama dengan selain mereka, dari jama’ah-jamaha’ah dan partai-partai yang mengelola dakwahnya baik secara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sirrîyah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(sembunyi-sembunyi) maupun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‘alanîyah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(terang-terangan), yang menyelisihi salaf pada hampir keseluruhan dari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qowâ’id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(kaidah-kaidah) manhaj dakwah mereka, baik dalam wasilah dan tujuannya.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as-Salaf dan para pengikut mereka di setiap zaman dan tempat, di setiap masa, lokasi dan periode, mereka adalah pemilik manhaj yang haq, yang sempurna dan menyeluruh, baik dalam perbuatan maupun ilmu. Sesungguhnya dakwah mereka dimulai dari pokok agama yang haq dan kaidahnya yang kokoh, yang mencakup seluruh permasalahan ilmu baik perkara yang besar maupun kecil. Tidaklah heran bahwa keadaan mereka memang seperti ini, karena mereka adalah sumber keilmuan, sebab mereka adalah para ulama Robbânîyun, para Mujâhid yang sabar dan para du’at bijaksana yang lurus.</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wajib bagi kita meniti âtsar mereka baik di dalam amal maupun ilmu, berjalan di atas manhaj mereka di dalam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ilallâh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jihâd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fî sabîlillâh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amar ma’rūf dan nahi munkar, di dalam hukum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al-Walâ` wal Barô`</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di dalam mu’âmalah (interaksi) syar’îyah yang baik terhadap Allôh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terhadap semua makhluq. Kita wajib berpegang kepada semua ini dengan tali Allôh yang kokoh, yang tampak di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ittiba’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(peneladan) terhadap Kitab-Nya yang terang dan sunnahnya penghulu para Nabî dan Rasūl yang sha ĥîĥ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Shallâllâhu ‘alaihi wa ‘alâ Ậlihi wa Shoĥbihi Ajma’în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benar apa yang dikatakan oleh seorang penyair</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كل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خير</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اتباع</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سلف</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ab/>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وكل</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شر</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في</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ابتداع</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1"/>
        </w:rPr>
        <w:t xml:space="preserve">خلف</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Setiap kebaikan itu di dalam peneladan yang dilakukan oleh kaum salaf</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setiap keburukan itu di dalam pengada-adaan bid’ah yang dilakukan kaum kholaf</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Inilah wahai para pembaca budiman, sebagian kekhususan para ulama salaf dan ciri khas manhaj mereka secara ringkas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1.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I’timâd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(berpegangnya) mereka dengan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nushush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(nash-nash) al-Kitâb dan as-Sunnah dengan pemahaman yang shaĥîĥ, dan interaksi mereka terhadap nash-nash ini yang tercermin dalam kehidupan mereka, baik dalam amal dan ilmu, baik dalam perkataan dan perbuatan, secara zhahir dan bathin, sesuai batasan firman Allôh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Azza wa Jalla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Apa saja yang diberikan Rasul kepadamu, maka terimalah. Dan apa yang dilarangnya bagimu, Maka tinggalkanlah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al-Hasyr : 7)</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2. Niat yang lurus dan tujuan yang baik terhadap semua hal yang mereka lakukan dan yang mereka tinggalkan. Disertai dengan kesabaran, ĥikmah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al-Mau’izhah al-Ĥasanah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(pelajaran/nasehat yang baik) yang dianggap merupakan asas utama di dalam menegakkan dakwah Islâm.</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3.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Iltizâm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(berpegang kuat) secara sempurna terhadap manhaj para Nabi dan Rasūl yang mulia di dalam dakwah mereka yang diridhai, berperangai dengan akhlaq mereka yang suci, yang terpancar dari kaidah-kaidah syar’iyah.</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4. Jalan dan manhaj yang jelas di dalam aktivitas dakwah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ilallâh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dan amar ma’rūf nâhi munkar, tidak bersifat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sirriyah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(sembunyi-sembunyi) dan tidak pula mendirikan organisasi atau jama’ah-jama’ah rahasia sebagaimana yang dilakukan oleh kaum hizbîyūn harokîyūn di setiap negeri kaum muslimin. Namun as-Salaf, mereka menampakkan dakwah mereka secara terang-terangan di dalam dakwah ilallâh dan ta’lim (mengajarkan) hamba-hamba Allôh, mereka curahkan nasehat bagi ummat menurut keadaan dan kedudukannya, serta beramar ma’rūf nâhi munkar dalam batasan kemampuan syar’iyah dan menetapi adab-adab Islamiyah.</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5. Mencintai sikap berlapang-lapang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at-Tawassu’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 dalam ilmu syar’iyah dan wasa`il (sarana-sarananya), dikarenakan Allôh dan Rasūl-Nya mencintai hal ini. Tidak sedikit ayat dan ĥadîts yang memuji dan menyanjung sifat ini. Oleh karena itu, tidak perlu kita menghiraukan tuduhan yang mengatakan bahwa salafîyun adalah penghafal matan dan catatan kaki [sebagaimana tuduhan DR. ’Abdullâh ’Azzâm –semoga Allô merahmati beliau dan mengampuni dosa kami dan beliau- di dalam Majalah al-Jihâd, no. 53 dalam artikel berjudul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Jâ`al Haq wa Zahaqol Bâthil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th. 1989]. Karena Allôh sendiri yang memuji sebagaimana dalam firman-Nya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”Allah akan meninggikan orang-orang yang beriman di antaramu dan orang-orang yang diberi ilmu pengetahuan beberapa derajat. dan Allah Maha mengetahui apa yang kamu kerjakan.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al-Mujâdilah : 11)</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Sesungguhnya yang takut kepada Allah di antara hamba-hamba-Nya, hanyalah ulama. Sesungguhnya Allah Maha Perkasa lagi Maha Pengampun.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Fâthir : 28)</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Juga di dalam sabda Nabî Shallâllâhu ’alaihi wa Sallam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Allôh mengehendaki kebaikan pada seseorang, niscaya ia fahamkan ia di dalam agama, dan sesungguhnya ilmu itu adalah dengan belajar.”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Muttafaq ’alayhi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sabda beliau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ulama itu adalah pewaris para Nabî.” [HR Abū Dâwud, Tirmidzî dan Ibnu Ĥibbân].</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6.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At-Tawâdhu’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(rendah hati) di dalam belajar dan menyebarkan ilmu, beradab yang baik terhadap makhluk, terutama terhadap para ulama karena mereka pemilik ilmu yang keutamaannya tinggi dan kedudukannya mulia, maka wajib bagi setiap muslim dan muslimah untuk beradab terhadap makhluk. Allôh Ta’âlâ berfirman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اط</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hamba-hamba Tuhan yang Maha Penyayang itu (ialah) orang-orang yang berjalan di atas bumi dengan rendah hati dan apabila orang-orang jahil menyapa mereka, mereka mengucapkan kata-kata (yang mengandung) keselamatan.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al-Furqân : 63)</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sabda Nabî Shallâllâhu ‘alaihi wa Sallam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seseorang itu bersikap rendah hati karena Allôh melainkan Allôh akan angkat kedudukannya.” [HR Muslim]</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indah apa yang dikatakan oleh seorang penyair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تواضع</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تكن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كالبدر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لناظر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صفحات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الماء</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رفيع</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كالدخان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يعلو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بنفسه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إلى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طبقات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الجو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وهو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وضيع</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Tawâdhu’ (rendah hati) itu menjadikanmu laksana bulan bergemerlap bagi orang yang memandangnya di atas permukaan air sedangkan bulan itu tinggi</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Janganlah kamu bagai asap yang terbang melayang meninggikan dirinya di lapisan udara padahal asap itu hina/rendah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Sebaliknya, perangai yang kaku keras lagi bengis, yang merasa tinggi hati lagi pembual, maka sesungguhnya sifat-sifat ini akan menghinakan seorang penuntut ilmu. Maka bersegera dan bersegeralah menuju kepada akhlaq yang mulia, dan jauhi da jauhilah akhlaq yang buruk lagi tercela! Di dalam sebuah hikmah dikatakan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العلم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حرب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للمتعالي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كالسيل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حرب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للمكان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العالي</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“Ilmu itu memerangi sikap tinggi hati sebagaimana banjir itu memerangi tempat yang tinggi.”</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7. Menaruh perhatian di dalam meramaikan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halaqoh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ilmu terutama di pusat utamanya, yaitu Masjid sebagai tempat termulia dan paling dicintai oleh Allôh, dan di tempat-tempat lainnya seperti lembaga-lembaga pengajaran semisal sekolah-sekolah, atau bahkan di setiap tempat yang memungkinkan untuk menyebarkan ilmu dengan cara yang benar. Menurut salaf ilmu-ilmu yang patut difokuskan adalah :</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Al-Qur`ânul Karîm dan kaidah-kaidah tajwîd bacaannya, untuk meluruskan lisân dan membenarkan bacaannya.</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Tafsîr Al-Qur`ân beserta ilmu-ilmunya, yang dipilihkan dari buku-buku tafsîr salafîyah yang lurus, seperti Tafsîr Ibnu Jarîr, Ibnu Katsîr dan selainnya.</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Ilmu ‘Aqîdah dalam semua babnya, beserta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tahqîq</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(penelitian) terhadap segala hal yang menafikan tauĥîd dan mengoyak kesempurnaan I’tiqâd. Buku-buku ‘aqîdah yang mu’tabar di dalam masalah ‘aqîdah adalah “Kitâbut Tauĥîd” karya Ibnu Khuzaimah, “Kitâbut Tauĥîd” karya Ibnu Mandah, “Kitâbus Sunnah” karya ‘Abdullâh bin A ĥmad, “Kitâbus Sunnah” karya al-Khollâl, “Ushulul I’tiqâd” karya al-Lâlikâ`î, “al-Ibânah” karya Ibnu Baththoh al-Ukbarî, karya-karya tulis Imâm Ibnu Taimîyah, Ibnu Qoyîm al-Jauzîyah dan buku-buku lainnya di dalam bidang ini, sebagai tambahan pula kitab-kitab tauhid yang termaktub di dalam kitab ash-Shiĥâh dan as-Sunan pada kitab-kitab ĥadîts. Termasuk pula buku-buku ‘aqîdah yang ada di hadapan kita di zaman ini, yaitu tulisan-tulisan dan fatâwâ di dalam masalah ‘aqidah oleh asy-Syaikh al-Imâm al-Mujaddid Muĥammad bin ‘Abdil Wahhâb, termasuk buku-buku karya putera-putera, keturunan dan murid-murid beliau dari kalangan ulama Najd ar-Robbâniyîn serta selain mereka, terutama yang patut disebut adalah penulis buku “Ma’ârijul Qabūl” dan “A’lâmus Sunnah al-Mansyūrah fî I’tiqâd ath-Thô`ifah al-Manshūrah”, seorang Allâmah di zamannya, Ĥâfizh bin Aĥmad bin ‘Alî al-Ĥakamî, asy-Syaikh yang mulia ‘Abdūl ‘Azîz bin Baz al-Atsarî, asy-Syaikh yang mulia Muĥammad Nâshiruddîn al-Albânî, asy-Syaikh yang mulia Muĥammad bin Shâliĥ al-‘Utsaimîn, asy-Syaikh yang terhormat Ĥammūd at-Tuwaijirî, asy-Syaikh yang terhormat Muĥammad Amân ‘Alî al-Jâmî –semoga Allôh merahmati mereka semua-. Juga asy-Syaikh yang terhormat Shâliĥ bin Fauzân bin ‘Abdillâh al-Fauzân, asy-Syaikh yang terhormat ‘Abdūl ‘Azîz al-Muĥammad as-Salmân, asy-Syaikh yang terhormat Rabî’ bin Ĥâdî al-Madkholî, asy-Syaikh yang terhormat Shâliĥ bin Sa’d as-Su ĥaimî, asy-Syaikh yang terhormat ‘Alî bin Nâshir al-Faqîhî, asy-Syaikh yang terhormat ‘Ubaid al-Jâbirî, asy-Syaikh yang terhormat Mu ĥammad bin Ĥadî al-Madkholî, asy-Syaikh yang terhormat Mu ĥammad bin Robî’ al-Madkholî, asy-Syaikh Aĥmad Yahyâ an-Najmî, asy-Syaikh Shâliĥ bin ‘Abdil ‘Azîz Ậlusy Syaikh dan selain mereka dari para ulama as-Salaf di zaman ini, semoga Allôh memperbanyak jumlah mereka dan menjadikan mereka dan ilmu mereka bermanfaat bagi hamba-hamba-Nya. Mereka semua ini memiliki karya-karya tulis yang bermanfaat dan rekaman-rekaman ceramah yang membahas masalah ‘aqîdah as-Salafîyah.</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‘Ilmu al-Ĥadîts, yang dipetik darinya dan dari al-Qur`ân, fikih yang terperinci bagi rukun-rukun Islâm, Ỉmân, Iĥsân dan keterangan ĥalâl dan ĥarâm, dan perincian seluruh ĥukum yang Allôh bebankan kepada manusia.</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‘Ilmu Farô`idh yang mana begitu butuhnya umat ini terhadap ilmu ini yang apabila mereka memahaminya, niscaya akan terpenuhilah hak-hak kepada para pemiliknya.</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‘Ilmu as-Sîrah an-Nabawîyah dan segala pelajaran yang terkandung di dalamnya. Inilah bidang-bidang ilmu syar’iyah mulai dari yang terpenting hingga yang ke penting, dan kesemuanya ini harus dipelajari menurut tingkatan dan kebutuhannya.</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8. Bersikap ar-Rifq (ramah), ĥilm (lembut) dan ‘anât (tenang) kepada makhluk pada batasan syar’i. Kesemua sifat yang baik ini merupakan sifat yang harus dimiliki du’at yang berdakwah ke jalan Allôh. Banyak sekali ayat-ayat yang terang dan tegas dan ĥ adîts-ĥadîts yang shaĥîĥ yang mendorong untuk bersifat dengan sifat-sifat yang mulia ini. Diantaranya adalah firman Allôh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Jadilah Engkau Pema'af dan suruhlah orang mengerjakan yang ma'ruf, serta berpalinglah dari pada orang-orang yang bodoh.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al-A’râf : 199)</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firman-Nya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tidaklah sama kebaikan dan kejahatan. Tolaklah (kejahatan itu) dengan cara yang lebih baik, Maka tiba-tiba orang yang antaramu dan antara dia ada permusuhan seolah-olah Telah menjadi teman yang sangat setia. Sifat-sifat yang baik itu tidak dianugerahkan melainkan kepada orang-orang yang sabar dan tidak dianugerahkan melainkan kepada orang-orang yang mempunyai keuntungan yang besar.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(QS Fushshilat : 34-35)</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Sabda Nabî kepada Asyaj ’Abdul Qays :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engkau memiliki dua perangai yang dicintai Allôh, yaitu kelemahlembutan dan ketenangan.” [HR. Muslim]</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Dan sabda beliau Shallâllâhu ‘alaihi wa Sallam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“Sesungguhnya Allôh itu Maha Lembut, dan mencintai kelemahlembutan pada segala hal.” [HR Muslim].</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Sunguh indah apa yang dikatakan oleh seorang penyair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أحب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مكارم</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الأخلاق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جهدي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وأكره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أعيب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أعاب</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وأصفح</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سباب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حلما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وشر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الناس</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يهوي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السبابا</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هاب</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الرجال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تهيبوه</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ab/>
        <w:tab/>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ومن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حقر</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الرجال</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فلن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يهاب</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Aku menyukai akhlaq yang mulia maka kutekuni dan kubenci mencela dan dicela orang lain</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Aku berpaling dari cercaan manusia dengan kelemahlembutan dan seburuk-buruk manusia itu adalah orang yang gemar mencerca</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Barangsiapa yang memuliakan orang lain maka ia akan dimuliakan, dan barangsiapa yang merendahkan orang lain ia takkan dihormati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Berangkat dari nash-nash dan hikmah inilah, salafîyun menganggap sifat-sifat yang mulia ini –yaitu ar-Rifq, al-Ĥilm dan al-Anât- sebagai penopang dakwah mereka dan mereka pun berperangai dengannya. Oleh karena itulah Allôh menentukan kesukesan bagi dakwah mereka di setiap zaman dan tempat.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اء</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w:t>
      </w:r>
      <w:r w:rsidDel="00000000" w:rsidR="00000000" w:rsidRPr="00000000">
        <w:rPr>
          <w:rFonts w:ascii="Verdana" w:cs="Verdana" w:eastAsia="Verdana" w:hAnsi="Verdana"/>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ظ</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”Itulah karunia Allah, diberikan-Nya kepada siapa yang dikehendaki-Nya. dan Allah mempunyai karunia yang besar”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(QS al-Ĥadîd : 21)</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9. Pemahaman yang benar dan penerapan yang syar’i terhadap hukum al-Walâ` wal Barô` bagi Ahlus Sunnah wal Jamâ’ah, yang berangkat dari sabda Nabî Shallâllâhu ’alaihi wa Sallam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”Tali iman yang terkuat adalah mencinta karena Allôh dan membenci karena Allôh” [HR A ĥmad].</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lafazh lain dikatakan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والب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غ</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”Tali iman yang terkuat adalah berloyal dan berlepas diri karena Allôh serta mencinta dan membenci karena Allôh” [HR as-Suyūthî dalam al-Jâmi’ ash-Shaghîr dan diĥasankan oleh al-Albânî].</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Yang semakna dengan kedua ĥ adîts di atas, adalah ucapan Ibnu ’Abbâs radhiyallâhu ’anhu, seorang sahabat yang bergelar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Turjumânul Qur`ân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(penterjemah al-Qur`ân)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”Barangsiapa yang mencinta, membenci dan berwala’ karena Allôh, maka ia akan mendapatkan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wilâyah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(kecintaan) dari Allôh yang tidak akan diperoleh oleh seorang hamba rasa iman ini walaupun ia banyak melakukan sholat dan puasa, sampai ia melakukan kesemua hal ini.” [Lihat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Jâmi’ al-’Ulūm wal Ĥikam</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karya Ibnu Rojab al-Hanbalî hal. 30].</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Sebuah Penutup</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kurang lebih apa yang dapat disarikan dari ulasan Fadhîlatusy Syaikh Zaid al-Madkholî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hafizhullâhu</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Semoga apa yang beliau sampaikan bisa menjadi bahan bercermin bagi kita semua. Semoga Allôh memberikan taufiq-Nya kepada kita semua, agar dapat menjadi seorang salafî sejati...</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Verdana"/>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firstLine="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080" w:firstLine="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1800" w:firstLine="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520" w:firstLine="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240" w:firstLine="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3960" w:firstLine="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4680" w:firstLine="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400" w:firstLine="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120" w:firstLine="0"/>
      </w:pPr>
      <w:rPr>
        <w:rFonts w:ascii="Verdana" w:cs="Verdana" w:eastAsia="Verdana" w:hAnsi="Verdana"/>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