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MEMETIK SECUIL FAIDAH DARI BUKU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It</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âful ‘Ibâd bi-Fawâidi Durūsi as-Syaikh ‘Abdul Mu</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sin bin </w:t>
      </w:r>
      <w:r w:rsidDel="00000000" w:rsidR="00000000" w:rsidRPr="00000000">
        <w:rPr>
          <w:rFonts w:ascii="Times New Roman" w:cs="Times New Roman" w:eastAsia="Times New Roman" w:hAnsi="Times New Roman"/>
          <w:b w:val="1"/>
          <w:i w:val="1"/>
          <w:smallCaps w:val="0"/>
          <w:strike w:val="0"/>
          <w:color w:val="000000"/>
          <w:sz w:val="28"/>
          <w:szCs w:val="28"/>
          <w:u w:val="single"/>
          <w:shd w:fill="auto" w:val="clear"/>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amad al-‘Abbâd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Hari Kamis kemarin (28/02/2007), saya sempat singgah di toko buku Islam “Progressif” Jl. KHM Mansyur untuk melihat-lihat informasi buku baru. Lalu pandangan mata saya tertarik dengan sebuah judul buku yang cukup tebal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hard-cover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Belajar dari Akhlaq Ustadz Salafi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ditulis oleh al-Ustadz ‘Abduh Zulfidar Akaha, yang diterbitkan oleh Pustaka al-Kautsar. Saya kemudian mengambil buku tersebut dan membuka-buka halamannya. Wah, ternyata buku ini adalah jawaban dan bantahan terhadap buku Ustadz Luqman Ba’abduh,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Menebar Dusta Membela Teroris Khowarij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Lho, apa hubungannya Resensi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dengan buku Ustadz ‘Abduh Zulfidar di atas? Sebenarnya, saya tergelitik dengan satu bab khusus di dalam buku al-Ustadz ‘Abduh ZA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wafaqohullâhu wa iyyanâ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berkenaan tentang Untuk Siapakah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ditujukan. Di dalam bab ini, al-Ustadz ‘Abduh meragukan keabsahan pernyataan Syaikh ‘Abdul Muhsin al-‘Abbad sebagai penulis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kutayib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menjelaskan bahwa buku beliau tersebut (yaitu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ditujukan untuk Ikhwanul Muslimin, orang yang terfitnah dengan Sayyid Quthb, harokiyyin, orang yang sibuk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Fiqhul Wâqi’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mencela penguasa kaum muslimin dan orang yang merendahkan para ulama. Sebagaimana termaktub dalam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61.</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ucapan Syaikh dan scan image dari kitab aslinya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كتبتة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علاقة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للذين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ذكرتهم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رفقا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المفتونين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الحركيين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أيظا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المفتونين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بفقه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الواقع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الحكام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التزهيد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فينشغل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تجريحا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هجرا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yang aku tulis terakhir ini yaitu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tidaklah ada korelasinya dengan yang telah aku sebutkan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Madârikun Nazhar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Risalahku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tidaklah dimaksudkan untuk Ikhwanul Muslimin tidak pula dimaksudkan untuk orang-orang yang terfitnah dengan Sayyid Quthb dan selainnya dari para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harokiyyin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pula dimaksudkan untuk orang-orang yang terfitnah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fiqhul waqi’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pencela penguasa dan orang-orang yang merendahkan para ulama, tidak dimaksudkan untuk mereka semua baik yang dekat maupun jauh. Sesungguhnya, risalahku ini aku peruntukkan untuk Ahlus Sunnah saja!!! Mereka yang berada di atas jalan Ahlus Sunnah yang tengah terjadi di tengah mereka ini sekarang perselisihan dan sibuknya mereka antara satu dengan lainnya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tajrih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hajr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(mengisolir) dan mencela.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60-61.]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Ustadz ‘Abduh meragukan penukilan di atas, beliau mungkin kesulitan di dalam melacak sumber penukilan tersebut, disebabkan karena mungkin buku ini belum begitu menyebar di toko buku berbahasa Arab di Indonesia. Beliau juga kesulitan mencari informasi buku ini dari situs di internet, apalagi setahu saya, situs yang mencuplik buku ini, yaitu misrsalafi, sudah tidak online lagi, dimana dari situs inilah, ustadz Ba’abduh (atau muridnya, al-Akh Alfian) menukilnya. Ustadz ‘Abduh juga mempertanyakan realitas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 berikut penulisnya, sehingga ketika beliau belum mendapatkan otentisitas penukilan ucapan Syaikh ‘Abdul Muhsin di atas, beliau terkesan meragukan penukilan tersebut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itulah, di dalam artikel (baca : resensi) singkat ini, saya ingin berbagi informasi, dan tidak bermaksud membantah ustadz ‘Abduh maupun Ba’abduh, biarlah mereka berdua yang menyelesaikan polemik ini di kancah perdebatan ilmiah, walau saya kurang mengapresiasi ustadz Luqman Ba’abduh yang enggan diajak berdiskusi secara langsung oleh ustadz ‘Abduh. Seharusnya seorang salafy yang ilmiah, dia siap untuk diajak berdiskusi secara ilmiah dan terbuka secara langsung, sebagaimana guru kami, al-Ustadz ‘Abdul Hakim ‘Abdat dan Ustadz Abu Qotadah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hafizhahumâllâhu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siap dan bersedia diajak diskusi secara langsung, ketika beliau berdua diundang oleh PERSIS Jabar. [Lihat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al-Masa’il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jilid VIII, pendahuluan yang cukup panjang dari al-Ustadz ‘Abdul Hakim, yang mengklarifikasi tuduhan dari majalah PERSIS Jawa Barat pasca diskusi].</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Demikian pula dengan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al-‘Ubaikân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berani dan menantang balik tokoh takfiriyun untuk berdiskusi dan berdebat, sebagaimana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asy-Syarqul Awsâth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(25/5/2005), dalam wawancara yang cukup panjang dengan Syaikh al-‘Ubaikân. Diantara yang dikatakan oleh Syaikh al-‘Ubaikân adalah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Saya katakan, mereka yang membenarkan al-Qâ’ida dan ideologi takfirnya, mereka ini adalah orang yang dangkal dan pendek pemahamannya. Saya telah menantang untuk berdialog dengan orang-orang seperti mereka ini dengan media apapun. Saya telah duduk dan berdebat dengan para pendukung mereka baik di rumahku maupun di masjid. Saya, al-‘Ubaikân, siap menerima ajakan debat bahkan dengan Bin Lâdin sekalipun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asy-Syarqul Ausâth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Mei 2005. Lihat : </w:t>
      </w:r>
      <w:hyperlink r:id="rId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http://www.asharq-e.com/news.asp?section=3&amp;id=85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‘Alî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pun beberapa kali duduk berdialog dengan lawan-lawan beliau, yang sebagiannya bahkan terekam di TV. Beliau pernah berdialog dengan Syaikh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Abū Ruhayyim, Hasan as-Saqqof, Demikian pula dengan Syaikh Salîm al-Hilâlî, Syaikh ‘Abdul ‘Azîz ar-Rayyis, Syaikh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Sa’id Ruslân, dll. Mereka semua tidak segan untuk berdiskusi dalam rangka menunjukkan al-Haq... Untuk itulah, saya mengharap supaya al-Ustadz Luqman Ba’abduh bersedia untuk diajak diskusi dan menjelaskan al-Haq, agar tidak semakin menyebar fitnah bahwa al-Ustadz adalah orang yang ‘pengecut’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na’ūdzubillâhi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semoga tidak demikian...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Resensi Singkat Buku</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Judul buku</w:t>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 bi-Fawâidi Durūsi as-Syaikh ‘Abdul Mu</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amad al-‘Abbâd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w:t>
        <w:tab/>
        <w:t xml:space="preserve">: 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Koreksi &amp; Taqrîzh</w:t>
        <w:tab/>
        <w:t xml:space="preserve">: Fadhîlatusy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amad al-‘Abbâd al-Badr</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Penerbit</w:t>
        <w:tab/>
        <w:t xml:space="preserve">: Dârul Imâm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 Mesir</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Cetakan </w:t>
        <w:tab/>
        <w:t xml:space="preserve">: Pertama, 1426 H – 2005 M</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2200"/>
        </w:tabs>
        <w:spacing w:after="0" w:before="0" w:line="240" w:lineRule="auto"/>
        <w:ind w:left="2400" w:right="0" w:hanging="2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sebenarnya saya peroleh pada pertengahan tahun 2006, hadiah dari seorang teman yang pulang haji, yaitu saudara saya yang mulia, teman seperjuangan di dalam dakwah, al-Akh Abu Furqon Amali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Jazzahullâhu khoyrol jazâ`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berjumlah 192 halaman yang terdiri dari sejumlah bab yang berkaitan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fawaid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(faidah-faidah) hadits yang disampaikan oleh al-‘Allâmah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al-‘Abbâd al-Badr di Masjid Nabawi pada kajian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Sunan Abî Dâwud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menyusun buku ini adalah seorang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thâlibul ‘ilmi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senantiasa menghadiri kajian Syaikh di Masjid Nabawi, yaitu 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 Disebutkan dalam pendahuluan buku ini, yang diberi kata pengantar oleh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sendiri, bahwa Syaikh al-‘Umaisân tidak pernah meninggalkan kajian yang disampaikan Syaikh al-‘Abbâd selama 5 tahun kecuali hanya 5 kali saja.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taqrîzh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(rekomendasi/kata pengantar) Syaikh al-‘Abbâd di dalam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âful ‘Ibâd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puji hanyalah milik Allôh semata. Semoga Allôh senantiasa melimpahkah sholawat dan salam-Nya kepada hamba dan utusan-Nya, Nabi kita Muhammad, juga kepada keluarga dan para sahabatnya.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Amma Ba’d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telah menelaah (buku yang berisi) faidah-faidah yang berkaitan dengan hadits beserta seluk beluk ilmu-nya dan para perawinya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Rijâlul hadîts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dikumpulkan oleh al-Akh asy-Syaikh ‘Abdurrahman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‘Abdillâh al-‘Umaisân dari pelajaranku di Masjid Nabawi tentang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Sunan Abî Dâwud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adalah seorang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mulâzim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senantiasa menghadiri pelajaran) dan beliau menyebutkan bahwa beliau tidak pernah ketinggalan pelajaran melainkan hanya lima kali saja dari rentang waktu yang panjang selama hampir 5 tahun. Sungguh baik apa yang telah beliau lakukan, semoga Allôh mengganjarnya dan memberkahi hasil upaya beliau ini.</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tidak melarang penyebaran buku ini dalam rangka untuk memperluas manfaat di dalamnya. Saya memohon kepada Allôh agar memberikan taufik-Nya kepadaku dan beliau serta seluruh penuntut ilmu agar memperoleh ilmu yang bermanfaat dan amal yang shalih, sesungguhnya, Allôh adalah Maha Mendengar lagi Maha Mengabulkan. Semoga Allôh senantiasa melimpahkah sholawat dan salam-Nya kepada hamba dan utusan-Nya, Nabi kita Muhammad, juga kepada keluarga dan para sahabatnya, serta siapa saja yang berusaha mengikuti mereka dengan lebih baik.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Ditulis oleh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amad al-‘Abbâd al-Badr</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14-10-1425 H.</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 rekomedasi Syaikh di atas, jelas bahwa buku ini ditelaah dan direkomendasikan oleh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al-‘Abbâd sendiri. Sehingga, apa yang dipaparkan di dalamnya, adalah atas sepengetahuan dan seizin Syaikh, serta tidak ada celah untuk meragukan dan mempertanyakannya.</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Sedikit berbagi informasi pula, buku ini berisi dengan faidah-faidah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haditsiyah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sarat akan manfaat dan ilmiyah. Seakan-akan, Syaikh al-‘Umaisân mengekstrakkan bagi pembaca buku ini, faidah-faidah hadits yang disampaikan al-‘Allâmah al-‘Abbâd selama 5 tahun, terangkum dalam buku ini.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Sekilas tentang Bab-Bab dalam Buku ini</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diawali dengan bab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Fadhlu Ahlil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adîts wa ‘Uluwwi Makânatihim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(Keutamaan Ahli Hadits dan Kedudukan Mereka yang Mulia), kemudian dilanjutkan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Fadhlu Ma’rifati ‘Ilmir Rijâl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(Ketamaan Mengetahui Ilmu Perawi). Dalam bab ini, dinukil ucapan emas al-Imam Ibnu al-Madini yang mengatakan :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Tafaqquh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(mempelajari) makna-makna hadits adalah separuh daripada ilmu, dan mempelajari para perawi (rijâl) hadits adalah separuh ilmu.” [hal. 14]</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 berikutnya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al-Jarh wat Ta’dîl bihaqqin Laysa minal Ghîbah al-Muharromah fî Syai`in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(mencela/mencacat perawi)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ta’dîl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(memuji) secara benar tidaklah termasuk sedikitpun dari menggunjing yang diharamkan). Di sini, dipaparkan kriteria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ghîbah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diperbolehkan, dimana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wa ta’dîl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ghîbah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diperbolehkan, bahkan dianjurkan apabila untuk membela kemurnian agama.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Bab selanjutnya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Dhowâbith fî Ma’rifatir Rijâl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(Kriteria di dalam mengenal perawi). Dalam hal ini dicontohkan dan dijelaskan bagaimana cara membedakan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Hammâdain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(dua Hammâd, yaitu Hammâd bin Salamah dan Hammâd bin Zaid)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Sufyanain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(dua Sufyân, yaitu Sufyân bin ‘Uyainah dan Sufyân ats-Tsaurî).</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 seterusnya, silakan lihat dalam scan image di bawah.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Beberapa Faidah Penting Dari Buku Ini</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ini adalah beberapa faidah penting dari buku ini, yang mungkin dapat bermanfaat, terutama bagi al-Ustadz ‘Abduh ZA dan al-Ustadz Luqmân Ba’abduh.</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Madarikun Nazhar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ditanya : “Apakah benar dikatakan bahwa anda tidak membaca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Madarikun Nazhar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melainkan hanya muqoddimahnya saja dan anda tidak setuju dengan penulisnya (Syaikh ‘Abdul Malik) di dalam kritikannya terhadap beberapa orang yang ia kritik, apa tanggapan anda?”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قرأت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مرتين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أكتب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اطلعت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آخره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menjawab : “Aku telah membaca buku ini dari awal sampai akhir sebanyak dua kali. Dan aku tidak mungkin menulis sebuah pengantar terhadap sebuah buku melainkan aku menelaahnya dari awal sampai akhir.” [hal. 61]</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Buku-buku yang dipuji dan dianjurkan oleh Syaikh</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‘Ilmur Rijâl dan Hadits</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Riyâdhul Mustathôbah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al-‘Âmirî al-Yamanî. Kata Syaikh, buku yang sangat bagus sekali, dan diantara bagusnya buku ini adalah, penulis menyebutkan sahabat beserta anak-anaknya disertai keterangan akan ibunya.</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Tahdzîbul Kamâl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al-Mizzî, yang diringkas oleh Ibnu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ajar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Tahdzîbut Tahdzîb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lalu diringkas lagi dengan 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Taqrîbut Tahdzîb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adz-Dzahabî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Tahdzîbit Tahdzîbil Kamal.</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Mîzanul I’tidâl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adz-Dzahabî. Syaikh menjelaskan keistimewaanna secara panjang lebar.</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“Ujalatul Imlaa`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an-Naaji, buku yang sangat bermanfaat sekali. Nama aslinya adalah al-Hafizh Burhanudin an-Naaji.</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Buku-buku karya Ibnu Rojab al-Hanbali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yarhamuhullahu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bidang hadits.</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Musnad ad-Darimi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Sunan ad-Darimi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keduanya ini pada hakikatnya adalah satu buku yang sama.</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Tahdzibu as-Sunan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Ibnul Qoyyim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al-Lu`lu` wal Marjaan fiima ittafaqo ‘alaihi asy-Syaikhoon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Muhammad Fu’ad ‘Abdul Baqi, buku yang sangat bagus. Sanad-sanadnya dihilangkan agar ringkas dan jumlah haditsnya adalah 1906.</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‘Aqidah</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th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hîru al-I’tiqôd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ash-Shon’âni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Syarh ash-Shudūr fi Tahrîmi Raf’il Qubūri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asy-Syaukâni.</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berkata : “Keduanya adalah dua buku yang mulia. Aku banyak mengambil faidah dari keduanya terutama di dalam bantahanku terhadap Hasan al-Maliki.</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al-Ushulu ats-Tsalatsah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Syaikhul Islam Ibnu ‘Abdil Wahhab.</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Bantahan</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at-Tankîl fir Raddi ‘alal Kautsârî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al-Mu’âlimi al-Yamani, kitab yang baik dan di dalamnya sarat akan faidah.</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Syaikh Rabi’ bin Hadi al-Madkholi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berjudul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Dahru Iftiro`ât Ahli az-Zaigh wal Irtiyâb ‘an Da’wati al-Imâm Muhammad bin ‘Abdil Wahhâb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yang lurus, sangat bermanfaat sekali.</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Syaikh ‘Abdul ‘Azîz ar-Rayyis di dalam membantah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asan al-Maliki, buku yang ringkas namun bermanfaat.</w:t>
      </w:r>
    </w:p>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Madârikun Nazhar fis Siyâsah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Fikih</w:t>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Kitab fikih yang paling luas pembahasannya adalah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al-Mughnî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 Qudamah,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al-Majmū’</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an-Nawawi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al-Istidkzâr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Ibnu ‘Abdil Barr.</w:t>
      </w:r>
    </w:p>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kâmul Janâ`iz wa Bida’uha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Syaikh al-Albânî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Syaikh ‘Abdul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berkata tentangnya, “Aku tidak tahu ada buku yang lebih memadai daripada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kâmul Janâ`iz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buku ini adalah yang paling utama yang pernah ditulis.”</w:t>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I’lâmul Muwaqqi’în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agung yang Syaikh menasehatkan para pelajar untuk mempelajarinya dan mengambil faidah darinya. Buku ini mencakup hukum-hukukm syar’i dan penjelasan akan hikmah-hikmahnya.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Tafsir</w:t>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Tafsîr Ibnu Katsir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merupakan buku tafsir yang paling bermanfaat, Syaikh menasehatkan para pelajar supaya mempelajarinya.</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Tafsir as-Sa’di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buku yang ringan cocok bagi para pelajar pemula dan ulama sekalipun. [hal. 58-62]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Sayyid Quthb</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buku-buku Sayyid Quthb, apakah beliau menasehatkannya untuk dibaca? Syaikh menjawab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menasehatkan untuk membaca buku-buku yang isinya benar-benar selamat, adapun contoh dari buku-buku ini –yaitu buku-buku karya Sayid Quthb-, keselamatan di dalamnya tidaklah jelas. Aku katakan, umur itu pendek maka hendaknya disibukkan dengan hal-hal yang lebih jelas keselamatannya, seperti buku-buku salaf.”</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Kemudian syaikh ditanya lagi tentang bagaimana dengan menukil dari buku ini? Syaikh menjawab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“Segala puji hanyalah milik Alloh yang telah mencukupkan dari selainnya, sepatutnya menukil hanya dari buku-buku yang selamat.” [hal. 64-65]</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Muhammad Surūr dan bukunya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Manhajul Anbiyâ’</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Muhammad Surur bin Zainal ‘Abidin dan bukunya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Manhajul Anbiyâ’ fîd Da’wati ilallôhi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apakah beliau nasehatkan untuk membacanya? Syaikh menjawab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tidak menasehatkan untuk membaca sedikitpun dari tulisan orang ini. Aku telah menelaah ucapannya yang jelek di dalam majalahnya “as-Sunnah” yang ia jadikan sebagai mimbar untuk memerangi ahlus sunnah dan mencela Ulama besar kerajaan dengan celaan yang keji.” [hal. 65]</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Tentang buku I</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yâ’ Ulūmuddîn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tentang buku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Ihya` ‘Ulumuddin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karya Abu Hamid al-Ghozali, apakah beliau nasehatkan untuk ditelaah dan dibaca? Syaikh menjawab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“Aku tidak menasehatkan untuk membacanya dikarenakan di dalamnya ada perkara yang baik dan ada yang buruk. Di dalamnya ada perkataan yang bagus dan ada perkataan yang jelek. Seorang manusia hendaknya membaca buku yang isinya benar-benar selamat (dari kesalahan dan kebatilan). Terkadang seseorang membaca buku ini kemudian merasuk sesuatu (yang buruk) pada sanubarinya, atau ia menganggap baik sesuatu yang sebenarnya buruk.” [hal. 65]</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menerima periwayatan Ahli Bid’ah</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berkata, “periwayatan dari ahli bid’ah memiliki perincian, yaitu ada dua segi : Pertama, apabila dia seorang yang menyeru kepada bid’ahnya, maka tidak diriwayatkan darinya sedikitpun tanpa terkecuali. Kedua, apabila ia adalah orang yang terancukan dengan bid’ah namun ia tidak menyeru kepada bid’ahnya tersebut, yang demikian inilah yang dibolehkan oleh para salaf meriwayatkan darinya.” [hal. 128]</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hukum asal seorang muslim</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ditanya, “apakah hukum asal seorang muslim itu adalah adil?”</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menjawab, “Hukum asal seorang muslim adalah ia tidak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tidak pula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melainkan setelah tampak adanya perkara yang mengharuskannya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di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Oleh karena itulah kita tidak menerima hadits dari orang yang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majhūl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(tidak dikenal) keadaannya.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130]</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mencukupkan diri dengan buku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Jarh wa Ta’dil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ulama kontemporer</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ditanya, “Apakah kita hanya mencukupkan diri dengan buku-buku ulama kontemporer di dalam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 wa 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ataukah ulama lampau?</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menjawab, “Ulama kontemporer, mereka meneliti buku-buku ulama terdahulu dan kalian dapatkan hasilnya yang kini berada di tengah-tengah kita, tanpa ada sesuatupun yang baru. Aku menasehatkan kepada para penuntut ilmu untuk membaca buku ulama terdahulu dan kontemporer, meskipun karya ulama terdahulu telah mercukupi, karena mereka adalah pondasi yang dibangun di atas mereka (ilmu ini).”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146]</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menyingkat sholawat kepada Nabi dengan saw</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“termasuk diantara kesalahan para penulis saat ini adalah mereka menulis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shighah</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sholawat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kepada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Rasul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disingkat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menjadi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1"/>
        </w:rPr>
        <w:t xml:space="preserve">صلعم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disingkat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dipendekkan menjadi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Shallallahu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alaihis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saja, padahal selayaknya menghimpun antara sholawat dan salam sekaligus, maka kita katakan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baik dengan ucapan maupun tulisan, sebagaimana firman Alloh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Sesungguhnya Allah dan malaikat-malaikat-Nya bershalawat untuk Nabi. Hai orang-orang yang beriman, bershalawatlah kamu untuk nabi dan ucapkanlah salam penghormatan kepadanya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(QS al-Ahzaab : 56).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137]</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Pendapat Syaikh tentang ucapan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karomallohu wajhaju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kepada ‘Ali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radhiyallahu ‘anhu</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“termasuk kesalahan yang para penulis kontemporer banyak terjerumus ke dalamnya dan juga para penulis terdahulu, adalah penulisan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karomallohu wajhahu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‘alaihi Salam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setelah menyebutkan ‘Ali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radhiyallahu ‘anhu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ini, walaupun sekalipun maknanya benar, namun sepatutnya mempersamakan diantara para sahabat di dalam penyebutannya, karena hal ini termasuk bab pengagungan dan pemuliaan, maka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Syaikhain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(Abu Bakar dan ‘Umar) dan Amirul Mu’minin ‘Utsman adalah lebih utama, semoga Alloh meridhai mereka semua.”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137-138]</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Imam al-Albani</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berkata : “Ada dua orang, yang penuntut ilmu merasa tercukupi dengan buku karya keduanya di dalam ilmu hadits, yaitu Ibnu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ajar dan al-Albânî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rohmatullahi ‘alahimâ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58]</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Imam Ibnu Baz</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Ketika menukil ucapan al-Hafizh Ibnu Hajar tentang biografi Ibnul Mubarok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dikatakan oleh al-Hafizh sebagai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Tsiqoh tsabt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faqih ‘âlim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Syaikh mengatakan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yang semisal dengan beliau di zaman ini adalah Syaikh kami, al-Imam Syaikhul Islam ‘Abdul ‘Aziz bin Baz.”</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 115]</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Pujian terhadap Hafizh al-Hakami</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“Telah meninggal al-Hazimi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umur beliau adalah 35 tahun. Adz-Dzahabi berkata tentang beliau di dalam kitabnya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Man yu’tamadu qouluhu fil 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wat Ta’dil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“Beliau wafat dalam keadaan masih muda belia”. Beliau memiliki kitab lainnya, judulnya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al-I’tibaar fin Nâsikh wal Mansūkh minal Âtsar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Orang yang seperti beliau di zaman ini adalah Hafizh al-Hakami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rahimahullahu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beliau wafat dan umur beliau adalah 35 tahun. Tulisan-tulisan beliau tersebar di perpustakaan-perpustakaan dan para penuntut ilmu banyak memetik faidah darinya…” [hal. 27 – catatan kaki]</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Semoga bermanfaat…</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www.asharq-e.com%2Fnews.asp%3Fsection%3D3%26id%3D85&amp;sa=D&amp;sntz=1&amp;usg=AFQjCNHHYPcM4jMUYZshrnNasHNuzz1B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