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ff0000"/>
          <w:sz w:val="34"/>
          <w:szCs w:val="34"/>
          <w:u w:val="none"/>
          <w:shd w:fill="auto" w:val="clear"/>
          <w:vertAlign w:val="baseline"/>
        </w:rPr>
      </w:pPr>
      <w:r w:rsidDel="00000000" w:rsidR="00000000" w:rsidRPr="00000000">
        <w:rPr>
          <w:rFonts w:ascii="Verdana" w:cs="Verdana" w:eastAsia="Verdana" w:hAnsi="Verdana"/>
          <w:b w:val="0"/>
          <w:i w:val="0"/>
          <w:smallCaps w:val="0"/>
          <w:strike w:val="0"/>
          <w:color w:val="ff0000"/>
          <w:sz w:val="34"/>
          <w:szCs w:val="34"/>
          <w:u w:val="none"/>
          <w:shd w:fill="auto" w:val="clear"/>
          <w:vertAlign w:val="baseline"/>
          <w:rtl w:val="0"/>
        </w:rPr>
        <w:t xml:space="preserv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ff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ff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Oleh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Al-Ustadz Jalâl Abŭ Alrŭb**</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Editor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 Riset Salafî Manhaj</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Alih Bahasa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Abŭ Salmâ bin Burhân Yŭsŭf</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Copyright Maktabah Abŭ Salmâ al-Atsarî 2007</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URL: http://dear.to/abusalma</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Email : abu.salma81@gmail.com</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0" w:right="521"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Artikel ini adalah publikasi online dari Maktabah lit Tahmîl (Download Library) Abŭ Salmâ al-Atsarî. Artikel ini dapat disebarluaskan dan dipublikasikan dalam berbagai bentuk selama dalam rangkaian tujuan dakwah, dan bukan untuk tujuan komersil. Harap cantumkan sumber penukilan apabila mempublikasikan atau menukil keseluruhan atau sebagian artikel ini sebagai amanat ilmiah. Koreksi, saran, nasehat dan kritik dapat dikirimkan kepada Abŭ Salmâ al-Atsarî.</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بسم</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الرحمن</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الرحيم</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1"/>
          <w:i w:val="1"/>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1"/>
          <w:smallCaps w:val="0"/>
          <w:strike w:val="0"/>
          <w:color w:val="000000"/>
          <w:sz w:val="24"/>
          <w:szCs w:val="24"/>
          <w:u w:val="none"/>
          <w:shd w:fill="auto" w:val="clear"/>
          <w:vertAlign w:val="baseline"/>
          <w:rtl w:val="0"/>
        </w:rPr>
        <w:t xml:space="preserve">Dengan Nama Alloh yang Maha Pengasih Lagi Maha Pemurah</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Suatu hal yang jelas bahwa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Inggris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merupakan negara barat pertama yang cukup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interest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menggelari dakwah ini dengan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Wahhabisme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alasannya karena dakwah ini mencapai wilayah koloni Inggris yang paling berharga, yaitu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India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Banyak ‘ulamâ` di India yang memeluk dan menyokong dakwah Imâm Ibn ‘Abdil Wahhâb. Juga, Inggris menyaksikan bahwa dakwah ini tumbuh subur berkembang dimana para pengikutnya telah mencakup sekelompok ‘ulamâ` ternama di penjuru dunia Islâm.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Selama masa itu, Inggris juga mengasuh sekte Qâdhiyânî dalam rangka untuk mengganti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mainstream</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ideologi Islam.</w:t>
      </w:r>
      <w:r w:rsidDel="00000000" w:rsidR="00000000" w:rsidRPr="00000000">
        <w:rPr>
          <w:rFonts w:ascii="Verdana" w:cs="Verdana" w:eastAsia="Verdana" w:hAnsi="Verdana"/>
          <w:b w:val="1"/>
          <w:i w:val="0"/>
          <w:smallCaps w:val="0"/>
          <w:strike w:val="0"/>
          <w:color w:val="000000"/>
          <w:sz w:val="22"/>
          <w:szCs w:val="22"/>
          <w:u w:val="none"/>
          <w:shd w:fill="auto" w:val="clear"/>
          <w:vertAlign w:val="superscript"/>
        </w:rPr>
        <w:footnoteReference w:customMarkFollows="0" w:id="0"/>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Mereka berhasrat untuk memperluas wilayah kekuasaan mereka di India dengan mengandalkan sebuah sekte ciptaan mereka sendiri, Qâdhiyânî, yaitu sekte yang diciptakan, diasuh dan dilindungi oleh Inggris. Sekte yang tidak menyeru jihad untuk mengusir kolonial Inggris yang berdiam di India.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Oleh karena itulah, ketika dakwah Imâm Ibn ‘Abdil Wahhâb mulai menyebar di India, dan dengannya datanglah slogan jihad melawan penjajah asing, Inggris menjadi semakin resah. Mereka pun menggelari dakwah ini dan para pengikutnya sebagai ‘Wahhâbi’ dalam rangka untuk mengecilkan hati kaum muslimin di India yang ingin turut bergabung dengannya, dengan harapan perlawanan terhadap penjajah Inggris tidak akan menguat kembali.</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1"/>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Banyak ‘Ulamâ` yang mendukung dakwah ini ditindas, beberapa dibunuh dan lainnya dipenjara.</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Suatu hal yang perlu dicatat, di dalam surat-surat dan laporan-laporan yang dikirimkan kepada ayah tirinya dan pemerintahan ‘Utsmâniyyah (Ottomans), Ibrâhîm Basyâ (Pasha), anak angkat Muhammad ‘Alî Basyâ (Pasha), juga menggunakan istilah ‘Wahhâbi, Khowârij dan Bid’ah (Heretics)’ untuk menggambarkan dakwah Muhammad Ibn ‘Abdul Wahhâb dan Negara Saudî</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3"/>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ini, tentu saja, terjadi sebelum Ibrâhîm Basyâ memberontak dan menyerang khilâfah ‘Utsmâniyyah dan hampir saja menghancurkannya di dalam proses pemberontakannya. Dr. Nâshir Tuwaim mengatakan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Kaum Orientalis terdahulu, menggunakan istilah ‘Wahhâbiyyah, Wahhâbî, Wahhâbis’ di dalam artikel-artikel dan buku-buku mereka untuk menyandarkan (menisbatkan) istilah ini kepada gerakan dan pengikut Syaikh Muhammad Ibn ‘Abdul Wahhâb.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Beberapa diantara mereka bahkan memperluasnya dengan memasukkan istilah ini sebagai judul buku mereka, semisal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Burckhardt, Brydges dan Cooper,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atau sebagai judul artikel mereka, seperti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Wilfred Blunt, Margoliouth, Samuel Zwemer, Thomas Patrick Hughes, Samalley dan George Rentz.</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Mereka melakukan hal ini walaupun sebagian dari mereka mengakui bahwa musuh-musuh dakwah ini menggunakan istilah ini untuk menggambarkannya, padahal para pengikut Syaikh Muhammad Ibn ‘Abdul Wahhâb tidak menyandarkan diri mereka kepada istilah ini.</w:t>
      </w:r>
    </w:p>
    <w:p w:rsidR="00000000" w:rsidDel="00000000" w:rsidP="00000000" w:rsidRDefault="00000000" w:rsidRPr="00000000" w14:paraId="0000001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080"/>
        </w:tabs>
        <w:spacing w:after="0" w:afterAutospacing="0" w:before="120" w:line="360" w:lineRule="auto"/>
        <w:ind w:left="1080" w:right="0" w:hanging="360"/>
        <w:jc w:val="both"/>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Margoliouth</w:t>
      </w:r>
      <w:r w:rsidDel="00000000" w:rsidR="00000000" w:rsidRPr="00000000">
        <w:rPr>
          <w:rFonts w:ascii="Arial" w:cs="Arial" w:eastAsia="Arial" w:hAnsi="Arial"/>
          <w:b w:val="1"/>
          <w:i w:val="0"/>
          <w:smallCaps w:val="0"/>
          <w:strike w:val="0"/>
          <w:color w:val="000000"/>
          <w:sz w:val="22"/>
          <w:szCs w:val="22"/>
          <w:u w:val="none"/>
          <w:shd w:fill="auto" w:val="clear"/>
          <w:vertAlign w:val="superscript"/>
        </w:rPr>
        <w:footnoteReference w:customMarkFollows="0" w:id="4"/>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sebagai contohnya, ia mengaku bahwa istilah ‘Wahhâbiyyah” digunakan oleh musuh-musuh dakwah selama masa hidup ‘pendiri’-nya, kemudian digunakan secara bebas oleh orang-orang Eropa. Walau demikian, ia menyatakan bahwa istilah ini tidak digunakan oleh para pengikut dakwah ini di Jazîrah ‘Arab. Bahkan, mereka menyebut diri mereka sendiri sebagai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Muwahhidŭn”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094"/>
        </w:tabs>
        <w:spacing w:after="0" w:afterAutospacing="0" w:before="0" w:beforeAutospacing="0" w:line="360" w:lineRule="auto"/>
        <w:ind w:left="1080" w:right="0" w:hanging="360"/>
        <w:jc w:val="both"/>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Thomas Patrick Hughes</w:t>
      </w:r>
      <w:r w:rsidDel="00000000" w:rsidR="00000000" w:rsidRPr="00000000">
        <w:rPr>
          <w:rFonts w:ascii="Arial" w:cs="Arial" w:eastAsia="Arial" w:hAnsi="Arial"/>
          <w:b w:val="1"/>
          <w:i w:val="0"/>
          <w:smallCaps w:val="0"/>
          <w:strike w:val="0"/>
          <w:color w:val="000000"/>
          <w:sz w:val="22"/>
          <w:szCs w:val="22"/>
          <w:u w:val="none"/>
          <w:shd w:fill="auto" w:val="clear"/>
          <w:vertAlign w:val="superscript"/>
        </w:rPr>
        <w:footnoteReference w:customMarkFollows="0" w:id="5"/>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menggambarkan “Wahhâbiyyah” sebagai gerakan reformis Islâm yang didirikan oleh Muhammad Ibn ‘Abdul Wahhâb, yang menyatakan bahwa musuh-musuh mereka tidak mau menyebut mereka sebagai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Muhammadiyyah” (Muhammadans)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malahan, mereka menyebutnya sebagai ‘Wahhâbî’, sebuah nama setelah namanya ayahnya Syaikh….</w:t>
      </w:r>
    </w:p>
    <w:p w:rsidR="00000000" w:rsidDel="00000000" w:rsidP="00000000" w:rsidRDefault="00000000" w:rsidRPr="00000000" w14:paraId="0000002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094"/>
        </w:tabs>
        <w:spacing w:after="120" w:before="0" w:beforeAutospacing="0" w:line="360" w:lineRule="auto"/>
        <w:ind w:left="1080" w:right="0" w:hanging="360"/>
        <w:jc w:val="both"/>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George Rentz</w:t>
      </w:r>
      <w:r w:rsidDel="00000000" w:rsidR="00000000" w:rsidRPr="00000000">
        <w:rPr>
          <w:rFonts w:ascii="Arial" w:cs="Arial" w:eastAsia="Arial" w:hAnsi="Arial"/>
          <w:b w:val="1"/>
          <w:i w:val="0"/>
          <w:smallCaps w:val="0"/>
          <w:strike w:val="0"/>
          <w:color w:val="000000"/>
          <w:sz w:val="22"/>
          <w:szCs w:val="22"/>
          <w:u w:val="none"/>
          <w:shd w:fill="auto" w:val="clear"/>
          <w:vertAlign w:val="superscript"/>
        </w:rPr>
        <w:footnoteReference w:customMarkFollows="0" w:id="6"/>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mengatakan bahwa istilah ‘Wahhâbî’ digunakan untuk mengambarkan para pengikut Syaikh Muhammad bin ‘Abdul Wahhâb oleh musuh-musuh mereka sebagai ejekan bahwa Syaikh mendirikan sebuah sekte baru yang harus dihentikan dan aqidahnya ditentang. Mereka yang disebut dengan sebutan ‘Wahhâbî’ ini beranggapan bahwa Syaikh Muhammad bin ‘Abdul Wahhâb hanyalah seorang pengikut Sunnah, oleh karena itulah mereka menolak istilah ini dan bahkan menuntut agar dakwah beliau disebut dengan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ad-Da’wah ila’t Tauhîd’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dimana istilah yang tepat untuk menggambarkan para pengikutnya adalah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Muwahhidŭn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Rentz juga mengatakan bahwa, para penulis barat ketika menggunakan istilah ‘Wahhâbî’ adalah dengan maksud ejekan, ia juga menyatakan bahwa ia menggunakan istilah itu sebagai klarifikasi.</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Biar bagaimanapun, siapa saja yang menggunakan istilah ini , baik dari masa lalu sampai saat ini, telah melakukan beberapa kesalahan, diantaranya :</w:t>
      </w:r>
    </w:p>
    <w:p w:rsidR="00000000" w:rsidDel="00000000" w:rsidP="00000000" w:rsidRDefault="00000000" w:rsidRPr="00000000" w14:paraId="0000002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094"/>
        </w:tabs>
        <w:spacing w:after="0" w:afterAutospacing="0" w:before="120" w:line="360" w:lineRule="auto"/>
        <w:ind w:left="1094"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menyebut dakwah Muhammad bin ‘Abdul Wahhâb sebagai ‘Wahhâbiyyah’,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walaupun dakwah ini tidak dimulai oleh ‘Abdul Wahhâb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oleh puteranya Muhammad.</w:t>
      </w:r>
    </w:p>
    <w:p w:rsidR="00000000" w:rsidDel="00000000" w:rsidP="00000000" w:rsidRDefault="00000000" w:rsidRPr="00000000" w14:paraId="0000002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094"/>
        </w:tabs>
        <w:spacing w:after="120" w:before="0" w:beforeAutospacing="0" w:line="360" w:lineRule="auto"/>
        <w:ind w:left="1094"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 awalnya, ‘Abdul Wahhâb tidak menyetujui dakwah puteranya dan menyanggah beberapa ajaran puteranya. Walau demikian, tampak pada akhir kehidupannya bahwa beliau akhirnya menyetujui dakwah puteranya. Semoga Alloh merahmatinya.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Musuh-musuh dakwah, tidak menyebut dakwah ini dengan sebutan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Muhammadiyyah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–terutama semenjak Muhammad, bukan ayahnya, ‘Abdul Wahhâb, memulai dakwah ini- karena dengan menyebutkan kata ini,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Muhammad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bisa mendapatkan simpati dan dukungan dakwah, ketimbang permusuhan dan penolakan.</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Istilah “Wahhâbi”, dimaksudkan sebagai ejekan dan untuk meyakinkan kaum muslimin supaya tidak mengambil ilmu atau menerima dakwah Muhammad ibn ‘Abdul Wahhâb, yang telah digelari oleh mereka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mubtadi’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(ahli bid’ah) yang tidak mencintai Rasulullâh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Shallâllâhu ‘alaihi wa Sallam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Walaupun demikian, penggunaan istilah ini telah menjadi sinonim dengan seruan (dakwah) untuk berpegang al-Qur`ân dan as-Sunnah dan suatu indikasi memiliki penghormatan yang luar biasa terhadap salaf, yang berdakwah untuk mentauhîdkan Allôh semata serta memerintahkan untuk mentaati semua perintah Rasulullâh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Shallâllâhu ‘alaihi wa Sallam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ini adalah kebalikan dari apa yang dikehendaki oleh musuh-musuh dakwah.</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8"/>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Pada belakang hari, banyak musuh-musuh dakwah Imam Muhammad Ibn ‘Abdul Wahhâb akhirnya menjadi kagum terhadap dakwah dan memahami esensi dakwahnya yang sebenarnya, melalui membaca buku-buku dan karya-karyanya. Mereka mempelajari bahwa dakwah ini adalah dakwah Islam yang murni dan terang, yang Alloh mengutus semua Nabi-Nya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‘alaihim`us Salâm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untuknya (untuk dakwah tauhîd ini).</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Menggunakan istilah ‘Wahhâbiyyah’ ini, tidak akan menghentikan penyebaran dakwah ini ke seluruh penjuru dunia. Bahkan pada kenyataannya, walaupun berada di tengah-tengah dunia barat, banyak kaum muslimin yang mempraktekkan Islam murni ini, yang mana Imâm Muhammad Ibn ‘Abdul Wahhâb secara antusias mendakwahkannya dan menjadikannya sebagai misi dakwah beliau. Semua ini disebabkan karena tidak ada seorangpun yang dapat mengalahkan al-Qur`ân dan as-Sunnah, tidak peduli sekuat apapun seseorang itu.</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Perlu dicatat pula, bahwa diantara karakteristik mereka yang berdakwah kepada tauhîd adalah, adanya penghormatan yang sangat besar terhadap al-Qur`ân dan sunnah Nabi. Mereka dikenal sebagai kaum yang mendakwahkan untuk berpegang kuat dengan hukum Islam, memurnikan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tashfiyah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mendidik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tarbiyah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bahwa peribadatan hanya milik Allôh semata serta memberikan respek terhadap para sahabat nabî dan para ‘ulamâ` Islâm. Mereka adalah kaum yang dikenal sebagai orang yang lebih berilmu di dalam masalah ilmu Islam secara mendetail daripada kebanyakan orang selain mereka. Telah menjadi suatu pengetahuan umum bahwa dimana saja ada seorang salafî bermukim, kelas-kelas yang mengajarkan ilmu sunnah tumbuh subur. Sekiranya istilah “Wahhâbî” ini digunakan untuk para pengikut dakwah, bahkan sekalipun dimaksudkan untuk mengecilkan hati ummat agar tidak mau menerima dakwah mereka, tetaplah salah baik dulu maupun sekarang, menyebut dakwah ini dengan sebutan “Wahhâbiyyah”.</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Imâm Muhammad ibn ‘Abdul Wahhâb berdakwah menyeru kepada jalan Rasulullâh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Shallâllâhu ‘alaihi wa Sallam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para sahabat nabi,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beliau tidak berdakwah menyeru kaum muslimin supaya menjadi pengikutnya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Dakwah beliau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bukanlah sebuah aliran/sekte baru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dakwah beliau adalah kesinambungan warisan dakwah yang dimulai dari generasi pertama Islam dan mereka yang mengikuti jalan mereka dengan lebih baik.</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&lt;&lt;&lt;:::==***==:::&gt;&gt;&gt;</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Verdan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1 dari 8 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Maktabah Abu Salma al-Atsari | Mail : abu.salma81@gmail.com</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00" w:right="0" w:hanging="100"/>
        <w:jc w:val="both"/>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Dari Jalâl Abŭ Alrub dan Alâ Mencke (ed.),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Biography and Mission of Muhammad Ibn ‘Abdul Wahhâb</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(Orlando, Florida: Madinah Publisher, 1424/2003), hal. 677-81. Dengan tambahan ekstra catatan oleh Tim Salafimanhaj. Catatan dari Salafi Manhaj diberi tanda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Catatan Editor”.</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00" w:right="0" w:firstLine="0"/>
        <w:jc w:val="both"/>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Catatan Penterjemah :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Artikel ini</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dialihbahasakan dari</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“Who First Used The Term “Wahhabi”?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w:t>
      </w:r>
      <w:hyperlink r:id="rId1">
        <w:r w:rsidDel="00000000" w:rsidR="00000000" w:rsidRPr="00000000">
          <w:rPr>
            <w:rFonts w:ascii="Arial Narrow" w:cs="Arial Narrow" w:eastAsia="Arial Narrow" w:hAnsi="Arial Narrow"/>
            <w:b w:val="0"/>
            <w:i w:val="0"/>
            <w:smallCaps w:val="0"/>
            <w:strike w:val="0"/>
            <w:color w:val="0000ff"/>
            <w:sz w:val="20"/>
            <w:szCs w:val="20"/>
            <w:u w:val="single"/>
            <w:shd w:fill="auto" w:val="clear"/>
            <w:vertAlign w:val="baseline"/>
            <w:rtl w:val="0"/>
          </w:rPr>
          <w:t xml:space="preserve">http://www.salafimanhaj.com/pdf/SalafiManhaj_TermWahhabi.pdf</w:t>
        </w:r>
      </w:hyperlink>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7" w:right="0" w:hanging="187"/>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Catatan Penterjemah :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Jalâl Abŭ Alrub adalah seorang penulis Islam salafî yang mumpuni. Beliau memiliki website bermanfaat, yaitu </w:t>
      </w:r>
      <w:hyperlink r:id="rId2">
        <w:r w:rsidDel="00000000" w:rsidR="00000000" w:rsidRPr="00000000">
          <w:rPr>
            <w:rFonts w:ascii="Arial Narrow" w:cs="Arial Narrow" w:eastAsia="Arial Narrow" w:hAnsi="Arial Narrow"/>
            <w:b w:val="0"/>
            <w:i w:val="0"/>
            <w:smallCaps w:val="0"/>
            <w:strike w:val="0"/>
            <w:color w:val="0000ff"/>
            <w:sz w:val="20"/>
            <w:szCs w:val="20"/>
            <w:u w:val="single"/>
            <w:shd w:fill="auto" w:val="clear"/>
            <w:vertAlign w:val="baseline"/>
            <w:rtl w:val="0"/>
          </w:rPr>
          <w:t xml:space="preserve">http://islamlife.com</w:t>
        </w:r>
      </w:hyperlink>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Beliau aktif menulis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counter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dan tanggapan/bantahan terhadap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syubuhat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dan penyesatan opini para jurnalis Barat. Beliau pernah terlibat debat beberapa kali dengan para jurnalis dan penulis ’Neo-Con’. Terakhir kali, beliau menantang debat Robert Spencer (seorang Katolik pro Neo-Con, yang mengangkat dirinya sebagai ’Islam Specialist’ dan banyak menulis tentang Islam secara ngawur dan tendensius. Ia adalah orang dibalik website jihadwatch dan dhimmiwatch.) Namun, Robert Spencer sepertinya tidak punya ’guts’ (nyali), sehingga ia tidak pernah mau berhadapan langsung dengan Jalâl Abŭ Alrub.</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7" w:right="0" w:hanging="187"/>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Dr. Muhammâd ibn Sa’d asy-Syuwai’ir, </w:t>
      </w: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Tash</w:t>
      </w:r>
      <w:r w:rsidDel="00000000" w:rsidR="00000000" w:rsidRPr="00000000">
        <w:rPr>
          <w:rFonts w:ascii="Arial Narrow" w:cs="Arial Narrow" w:eastAsia="Arial Narrow" w:hAnsi="Arial Narrow"/>
          <w:b w:val="1"/>
          <w:i w:val="1"/>
          <w:smallCaps w:val="0"/>
          <w:strike w:val="0"/>
          <w:color w:val="000000"/>
          <w:sz w:val="20"/>
          <w:szCs w:val="20"/>
          <w:u w:val="single"/>
          <w:shd w:fill="auto" w:val="clear"/>
          <w:vertAlign w:val="baseline"/>
          <w:rtl w:val="0"/>
        </w:rPr>
        <w:t xml:space="preserve">h</w:t>
      </w: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îh Khathâ’ Târîkhî Haula`l Wahhâbiyyah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Riyâdh : Dârul Habîb : 2000; hal. 55</w:t>
      </w:r>
    </w:p>
  </w:footnote>
  <w:footnote w:id="1">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7" w:right="0" w:hanging="187"/>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Catatan Editor :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W.W. Hunter dalam bukunya yang berjudul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The Indian Musalmans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mencatat bahwa selama pemberontakan orang India tahun 1867, Inggris paling menakuti kebangkitan muslim ‘Wahhâbi’ yang tengah bangkit menentang Inggris. Hunter menyatakan di dalam bukunya bahwa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7" w:right="0" w:firstLine="0"/>
        <w:jc w:val="both"/>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There is no fear to the British in India except from the Wahhabis, for they are causing disturbances againts them, and agitating the people under the name of jihaad to throw away the yoke of disobedience to the British and their authority.”</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7"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Tidak ada ketakutan bagi Inggris di India melainkan terhadap kaum Wahhâbi, karena merekalah yang menyebabkan kerusuhan dalam rangka menentang Inggris dan mengagitasi (membangkitkan semangat) umat dengan atas nama jihâd untuk memusnahkan penindasan akibat dari ketidaktundukan kepada Inggris dan kekuasaan mereka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7"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Lihat: W.W. Hunter,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The Indian Musalmans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cet.1 di London: Trűbner and Co., 1871; Calcuta: Comrade Publishers, 1945, 2</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nd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edn.; New Delhi: Rupa &amp; Co., 2002 Reprint</w:t>
      </w:r>
    </w:p>
  </w:footnote>
  <w:footnote w:id="2">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7" w:right="0" w:hanging="187"/>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Catatan Ediotr :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 Bengal selama masa ini, banyak kaum muslimin termasuk tua, muda dan para wanita, semuanya disebut dengan “Wahhâbi” dan dianggap sebagai “pemberontak” yang melawan Inggris kemudian digantung pada tahun 1863-1864. Mereka yang dipenjarakan di Pulau Andaman dan disiksa adalah para ulama dari komunitas Salafî-Ahlul Hadîts, seperti Syaikh Ja’far Tsanisârî, Syaikh Yahyâ ‘Alî (1828-1868), Syaikh Ahmad ‘Abdullâh (1808-1881), Syaikh Nadzîr Husain ad-Dihlawî dan masih banyak lagi lainnya. Untuk bacaan lebih lanjut, silakan lihat :</w:t>
      </w:r>
    </w:p>
    <w:p w:rsidR="00000000" w:rsidDel="00000000" w:rsidP="00000000" w:rsidRDefault="00000000" w:rsidRPr="00000000" w14:paraId="0000004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Mu’înud-dîn Ahmad Khân,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A History if The Fara’idi Movement in Bengal</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(Karachi: Pakistan Historical Society, 1965).</w:t>
      </w:r>
    </w:p>
    <w:p w:rsidR="00000000" w:rsidDel="00000000" w:rsidP="00000000" w:rsidRDefault="00000000" w:rsidRPr="00000000" w14:paraId="0000004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Barbara Daly Metrcalf,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Islamic Revival in British India: Deoband, 1860-1900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(Princeton, New Jersey: Princeton University Press, 1982), hal. 26-77.</w:t>
      </w:r>
    </w:p>
    <w:p w:rsidR="00000000" w:rsidDel="00000000" w:rsidP="00000000" w:rsidRDefault="00000000" w:rsidRPr="00000000" w14:paraId="0000004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Qiyâmud-dîn Ahmad (Professor Sejarah di Universitas Patna),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The Wahhabi Movement in India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(Ner Delhi: Manohar, 1994, 2</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nd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edition). Terutama pada bab tujuh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The British Campaigns Againts the Wahhabis on the North-Western Frontier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dan bab kedelapan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State Trials of Wahhabi Leaders, 183-65</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7"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Muhammad Ja’far, </w:t>
      </w: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Târikhul ‘Ajîb</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dan </w:t>
      </w: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Târikhul ‘Ajîb</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 History of Port Blair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(Nawalkshore Press, 1892, 2</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nd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edition).</w:t>
      </w:r>
    </w:p>
  </w:footnote>
  <w:footnote w:id="3">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7" w:right="0" w:hanging="187"/>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70 </w:t>
      </w:r>
    </w:p>
  </w:footnote>
  <w:footnote w:id="4">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7" w:right="0" w:hanging="187"/>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D.S. Margoliouth,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Wahabiya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618, 108.</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7"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Catatan Ediotor :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Artikel karya Margoliouth yang berjudul ‘Wahhabis’ ini juga dapat ditemukan di dalam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The First Encyclopaedia of Islam, 1913-1936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(New York: E.J. Brill, 1987 Reprint) vol.8 , hal.1087 karya M.T. Houtsma, T.W. Arnold, R. Basset, R. Hartman, A.J. Wensinck, H.A.R. Gibb, W. Heffening dan E. Lêvi-Provençal (ed) dan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The Shorter Encyclopaedia of Islam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(Leiden and London: E.J. Brill and Luzac &amp; Co., 1960), hal. 619 karya H.A.R Gibb, J.H. Kramers dan E. Lêvi-Provençal (ed). Artikel ini juga dicetak ulang dalam :</w:t>
      </w:r>
    </w:p>
    <w:p w:rsidR="00000000" w:rsidDel="00000000" w:rsidP="00000000" w:rsidRDefault="00000000" w:rsidRPr="00000000" w14:paraId="0000005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Reading, UK: Ithaca Press, 1974</w:t>
      </w:r>
    </w:p>
    <w:p w:rsidR="00000000" w:rsidDel="00000000" w:rsidP="00000000" w:rsidRDefault="00000000" w:rsidRPr="00000000" w14:paraId="0000005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Leiden: Brill, 1997</w:t>
      </w:r>
    </w:p>
    <w:p w:rsidR="00000000" w:rsidDel="00000000" w:rsidP="00000000" w:rsidRDefault="00000000" w:rsidRPr="00000000" w14:paraId="0000005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Dan cetakan pertama, Leiden and London: E.J. Bril and Luzac &amp; Co., dan New York: Cornel University Press, 1953.</w:t>
      </w:r>
    </w:p>
  </w:footnote>
  <w:footnote w:id="5">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7" w:right="0" w:hanging="187"/>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Thomas Patrick Huges,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Dictionary of Islam,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59</w:t>
      </w:r>
    </w:p>
  </w:footnote>
  <w:footnote w:id="6">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7" w:right="0" w:hanging="187"/>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George Rentz dan AS.J. Arberry,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The Wahhabis in Religion in The Middle East: Three Religion in Concord and Conflict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Vol.2 (Cambridge: Cambridge University Press, 1969), hal. 270</w:t>
      </w:r>
    </w:p>
  </w:footnote>
  <w:footnote w:id="7">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7" w:right="0" w:hanging="187"/>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Nâshir ibn Ibrâhîm ibn ‘Abdullâh Tuwaim, </w:t>
      </w: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Asy-Syaikh Muhammad ibn ‘Abd`ul Wahhâb: Hayâtuhu wa Da’watuhu fi`r Ru`yâ al-Istisyrâqiyya: Dirôsah Naqdîyyah</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(Riyadh: Kementerian Urusan Keislaman, Pusat Penelitian dan Studi Islam, 1423/2003) hal. 86-7.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7" w:right="0" w:firstLine="0"/>
        <w:jc w:val="both"/>
        <w:rPr>
          <w:rFonts w:ascii="Arial Narrow" w:cs="Arial Narrow" w:eastAsia="Arial Narrow" w:hAnsi="Arial Narrow"/>
          <w:b w:val="0"/>
          <w:i w:val="0"/>
          <w:smallCaps w:val="0"/>
          <w:strike w:val="0"/>
          <w:color w:val="0000ff"/>
          <w:sz w:val="20"/>
          <w:szCs w:val="20"/>
          <w:u w:val="singl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Catatan Editor :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Buku ini juga dapat dilihat secara online di </w:t>
      </w:r>
      <w:r w:rsidDel="00000000" w:rsidR="00000000" w:rsidRPr="00000000">
        <w:fldChar w:fldCharType="begin"/>
        <w:instrText xml:space="preserve"> HYPERLINK "http://www.google.com/url?q=http%3A%2F%2Fislamport.com%2Fd%2F3%2Famm%2F1%2F100%2F2213.html&amp;sa=D&amp;sntz=1&amp;usg=AFQjCNF3c4kOLp2ToGwnZgzRbC0De4EaEQ" </w:instrText>
        <w:fldChar w:fldCharType="separate"/>
      </w:r>
      <w:r w:rsidDel="00000000" w:rsidR="00000000" w:rsidRPr="00000000">
        <w:rPr>
          <w:rFonts w:ascii="Arial Narrow" w:cs="Arial Narrow" w:eastAsia="Arial Narrow" w:hAnsi="Arial Narrow"/>
          <w:b w:val="0"/>
          <w:i w:val="0"/>
          <w:smallCaps w:val="0"/>
          <w:strike w:val="0"/>
          <w:color w:val="0000ff"/>
          <w:sz w:val="20"/>
          <w:szCs w:val="20"/>
          <w:u w:val="single"/>
          <w:shd w:fill="auto" w:val="clear"/>
          <w:vertAlign w:val="baseline"/>
          <w:rtl w:val="0"/>
        </w:rPr>
        <w:t xml:space="preserve">http://islamport.com/d/3/amm/1/100/2213.html</w:t>
      </w:r>
    </w:p>
  </w:footnote>
  <w:footnote w:id="8">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7" w:right="0" w:hanging="187"/>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fldChar w:fldCharType="end"/>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Qodhî Ahmad ibn Hajar Alu Abŭthâmi (al-Bŭthâmi),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Syaikh Muhammad Ibn ‘Abdul Wahhâb : His Salafî Creed and Reformist Movement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66</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1733550</wp:posOffset>
          </wp:positionH>
          <wp:positionV relativeFrom="paragraph">
            <wp:posOffset>-52704</wp:posOffset>
          </wp:positionV>
          <wp:extent cx="3492500" cy="94996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92500" cy="949960"/>
                  </a:xfrm>
                  <a:prstGeom prst="rect"/>
                  <a:ln/>
                </pic:spPr>
              </pic:pic>
            </a:graphicData>
          </a:graphic>
        </wp:anchor>
      </w:drawing>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2">
    <w:lvl w:ilvl="0">
      <w:start w:val="1"/>
      <w:numFmt w:val="bullet"/>
      <w:lvlText w:val="●"/>
      <w:lvlJc w:val="left"/>
      <w:pPr>
        <w:ind w:left="72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3">
    <w:lvl w:ilvl="0">
      <w:start w:val="1"/>
      <w:numFmt w:val="bullet"/>
      <w:lvlText w:val="●"/>
      <w:lvlJc w:val="left"/>
      <w:pPr>
        <w:ind w:left="108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80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52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324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96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68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40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612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840" w:firstLine="0"/>
      </w:pPr>
      <w:rPr>
        <w:rFonts w:ascii="Verdana" w:cs="Verdana" w:eastAsia="Verdana" w:hAnsi="Verdana"/>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jc w:val="center"/>
    </w:pPr>
    <w:rPr>
      <w:rFonts w:ascii="Trebuchet MS" w:cs="Trebuchet MS" w:eastAsia="Trebuchet MS" w:hAnsi="Trebuchet MS"/>
      <w:b w:val="1"/>
      <w:sz w:val="32"/>
      <w:szCs w:val="32"/>
    </w:rPr>
  </w:style>
  <w:style w:type="paragraph" w:styleId="Heading2">
    <w:name w:val="heading 2"/>
    <w:basedOn w:val="Normal"/>
    <w:next w:val="Normal"/>
    <w:pPr>
      <w:keepNext w:val="1"/>
      <w:keepLines w:val="1"/>
      <w:spacing w:after="60" w:before="240" w:lineRule="auto"/>
    </w:pPr>
    <w:rPr>
      <w:rFonts w:ascii="Trebuchet MS" w:cs="Trebuchet MS" w:eastAsia="Trebuchet MS" w:hAnsi="Trebuchet MS"/>
      <w:b w:val="1"/>
      <w:sz w:val="22"/>
      <w:szCs w:val="22"/>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www.google.com/url?q=http%3A%2F%2Fwww.salafimanhaj.com%2Fpdf%2FSalafiManhaj_TermWahhabi.pdf&amp;sa=D&amp;sntz=1&amp;usg=AFQjCNGHbkaEfMho770GHQX6BXPgtXU6AQ" TargetMode="External"/><Relationship Id="rId2" Type="http://schemas.openxmlformats.org/officeDocument/2006/relationships/hyperlink" Target="http://www.google.com/url?q=http%3A%2F%2Fislamlife.com&amp;sa=D&amp;sntz=1&amp;usg=AFQjCNFbcUg-p5tq51g6O7PD5GICBFjzZ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