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ff0000"/>
          <w:sz w:val="36"/>
          <w:szCs w:val="36"/>
          <w:u w:val="none"/>
          <w:shd w:fill="auto" w:val="clear"/>
          <w:vertAlign w:val="baseline"/>
        </w:rPr>
      </w:pPr>
      <w:r w:rsidDel="00000000" w:rsidR="00000000" w:rsidRPr="00000000">
        <w:rPr>
          <w:rFonts w:ascii="Arial" w:cs="Arial" w:eastAsia="Arial" w:hAnsi="Arial"/>
          <w:b w:val="1"/>
          <w:i w:val="0"/>
          <w:smallCaps w:val="0"/>
          <w:strike w:val="0"/>
          <w:color w:val="ff0000"/>
          <w:sz w:val="36"/>
          <w:szCs w:val="36"/>
          <w:u w:val="none"/>
          <w:shd w:fill="auto" w:val="clear"/>
          <w:vertAlign w:val="baseline"/>
          <w:rtl w:val="0"/>
        </w:rPr>
        <w:t xml:space="preserve">KAWIN KONTRAK</w:t>
        <w:br w:type="textWrapping"/>
        <w:t xml:space="preserve">TRADISI KAUM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ff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urusan nikah mut’ah Syi'ah memiliki banyak keburukan, kekejian, hal-hal yang menjijikkan dan kebodohan terhadap Islam. Mereka mengangkat nilai setiap keburukan dan meninggikan setiap yang kotor. Mereka menghalalkan apa yang diharamkan Allah (berupa zina) atas nama agama dan dusta terhadap para Imam. Mereka membolehkan semua yang mereka mau, mereka membiarkan nafsu tenggelam dalam kelezatan yang menipu dan kemungkaran-kemungkaran. Mut’ah adalah sebaik-baik saksi dan bukti, mereka telah menghiasi mut'ah dengan segala kesucian, keagungan dan keanggunan, hingga mereka menjadikan balasan pelakunya adalah surga -Naudzubillah-, mereka memperbanyak keutamaan-keutamaan mut’ah dan keistimewaannya, seraya menyesatkan -sebagaimana lazimnya- orang-orang yang mereka jadikan sebagai tawanan bagi ucapan-ucapan mereka yang dusta. Di antaranya ialah: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Al-Kasyani dalam tafsirnya, berbohong atas Rasulullah Shallallahu’alaihi wasallam, mereka mengatakan bahwa beliau bersabda,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Telah datang kepadaku Jibril darl sisi Tuhanku, membawa sebuah hadiah. Kepadaku hadiah itu adalah menikmati wanita-wanita mukminah (dengan kawin kontrak). Allah belum pernah memberikan hadiah kepada para nabipun sebelumku, Ketahuilah mut’ah adalah keistimewaan yang dikhususkan oleh Allah untukku, karena keutamaanku melebihi semua para nabi terdahulu. Barangsiapa melakukan mut’ah sekali dalam umurnya, la menjadi ahli surga. Jika laki-laki dan wanita yang melakukan mut’ah berter di suatu tempat, maka satu malaikat turun kepadanya untuk menjaga hingga mereka berpisah. Apabila mereka bercengkerama maka obrolan mereka adalah berdzikir dan tasbih. Apabila yang satu memegang tangan pasangannya maka dosa-dosa dan kesalahan-kesalahan bercucuran keluar dari jemari keduanya. Apabila yang satu mencium yang lain maka ditulis pahala mereka setiap ciuman seperti pahala haji dan umrah. Dan ditulis dalam jima' (persetubuhan) mereka, setiap syahwat dan kelezatan satu kebajikan bagaikan gunung-gunung yang menjulang ke langit. Jika mereka berdua asyik dengan mandi dan air berjatuhan, maka Allah menciptakan dengan setiap tetesan itu satu malaikat yang bertasbih dan menyucikan Allah, sedang pahala tasbih dan taqdisnya ditulis untuk keduanya hingga hari Kiamat."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(Tafsir Manhaj Asshadiqin Fathullah Al-Kasyani)</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juga berdusta atas nama Ja’far Ash-Shadiq, alim yang menjadi lautan ilmu ini! dikatakan oleh mereka telah bersabda: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“Mut’ah itu adalah agamaku dan agama bapak-bapakku. Yang mengamalkannya, mengamalkan agama kami dan yang mengingkarinya mengingkari agama kami, bahkan ia memeluk agama selain agama kami. Dan anak dari mut’ah lebih utama dari pada anak istri yang langgeng. Dan yang mengingkari mut’ah adalah kafir murtad.”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(Tafsir Manhaj Asshadiqin Fathullah Al-Kasyani hal.356)</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juga berbohong atas nama Rasulullah Shallallahu ‘Alaihi wasallam, mereka mengatakan bahwa beliau bersabda: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melakukan mut'ah sekali dimerdekakan sepertiganya dari api neraka, yang mut'ah dua kali dimerdekakan dua pertiganya dari api neraka dan yang melakukan mut'ah tiga kali dimerdekakan dirinya dari neraka.”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menambah tingkat kejahatan dn kesesatan merea dengan meriwayatkan atas nama Rasulullah Shallallhu‘alihi wasallam: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melakukan mut'ah dengan seorang wanita Mukminah, maka seoloh-olah dia telah berziarah ke Ka'bah (berhaji sebanyak 70 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(‘Ujalah Hasanah Tarjamah Risalah Al Mut’ah oleh Al-Majlisi Hal.16).</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Mut’ah, Rukun, Syarat dan Hukumnya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Fathullah Al-Kasyani menukil di dalam tafsirnya sebagai berikut, "Supaya diketahui bahwa rukun akad mut’ah itu ada lima: Suami, istri, mahar, pembatasan waktu (Taukit) dan shighat ijab qabul." (Tafsir Manhaj Asshadiqin Fathullah Al-Kasyani hal.357)</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 menjelaskan,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"Bilangan pasangan mut’ah itu tidak terbatas, dan pasangan laki-laki tidak berkewajiban memberi nama, tempat tinggal, dan sandang serta tidak saling mewarisi antara suami-istri dan dua pasangan mut’ah ini. Semua ini hanya ada dalam akad nikah yang langgeng,"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(Tafsir Manhaj Asshadiqin Fathullah Al-Kasyani hal.352)</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Syarat-syarat Mut’ah</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Perkawinan ini cukup dengan akad (teransaksi) antara dua orang yang ingin bersenang-senang (mut’ah) tanpa ada para saksi! </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Laki-laki terbebas dari beban nafkah! </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 bersenang-senang (tamattu') dengan para wanita tanpa bilangan tertentu, sekalipun dengan seribu wanita! </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Istri atau pasangan wanita tidak memiliki hak waris! </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 disyaratkan adanya ijin bapak atau wali perempuan! </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Lamanya kontrak kawin mut’ah bisa beberapa detik saja atau lebih dari itu! </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Wanita yang dinikmati (dimut’ah) statusnya sama dengan wanita sewaan atau budak!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Ja’far Ath-Thusi menukil bahwa Abu Abdillah Alaihis-Salam (Imam mereka yang di anggap suci) ditanya tentang mut’ah apakah hanya dengan empat wanita?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 menjawab, "Tidak, juga tidak hanya tujuh puluh."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Sebagaimana dia juga pernah ditanya apakah hanya dengan empat wanita?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 menjawab, "Kawinlah (secara mut’ah) dengan seribu orang dari mereka karena mereka adalah wanita sewaan, tidak ada talak dan tidak ada waris dia hanya wanita sewaan."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(At-Tahdzif oleh Abu Ja’far Aht-Thusi, Juz III/188)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menisbatkan kepada imam keenam. yang ma'shum dia bersabda,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"Tidak mengapa mengawini gadis jika dia rela tanpa ijin bapaknya."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(At-Tahdzif Al-Ahkam juz VII/256)</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menisbatkan kepada Ja’far Ash-Shadiq, dia ditanya,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"Apa yang harus, saya katakan jika saya telah berduaan dengannya?"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 berkata, engkau cukup mengatakan ,aku mengawinimu secara mut’ah (untuk bersenang-senang saja) berdasarkan kitab Allah dan sunnah Rasul-Nya, tidak ada yang mewarisi dan tidak ada yang diwarisi, selama sekian! hari.Jika kamu mau, sekian tahun, Dan kamu sebutkan upahnya, sesuatu yang kalian sepakati sedikit atau banyak.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(Al-Furu’ Min Al Kafi Juz V/455)</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Demikianlah kawin mut’ah dalam agama Syi'ah yang dengannya mereka menipu orang-orang bodoh dari kalangan orang-orang yang awam, seraya menyihir mata mereka dengan berbagai macam atraksi sulap dan sihir serta, mengada-ada ucapan dusta, atas nama Allah dan Rasul-Nya.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Bantahan terhadap Kebolehan Mut’ah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Sesungguhnya nikah mut’ah pernah dibolehkan pada awal Islam untuk kebutuhan dan darurat waktu itu kemudian Rasulullah Shallallahu’alaihi wasallam mengharamkannya untuk selama-lamanya hingga hari Kiamat. Beliau malah mengharamkan dua kali, pertama pada waktu Perang Khaibar tahun 7 H, dan yang kedua pada Fathu Makkah, tahun 8 H.</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[Syi’ah sendiri] meriwayatkan bahwa Ali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"Rasullullah Shallallahu ‘Alaihi wa Sallam telah mengharamkan pada Perang Khaibar daging himar jinak dan nikah mut'ah."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(At-Tahdzif Juz II/186)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Riwayat inipun terdapat dalam sahih Bukhari. Maka semakin jelas tentang agama mereka yang dibangun atas dasar rekayasa, ucapan mereka bertentangan satu sama lain.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Maka kami membantah kalian wahai Syi’ah !!, dengan kitab-kitab kalian sendiri.</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salah satu sebab yang membuat mereka berakidah taqiyah (berbohong). Padahal perlu diketahui bahwa dalam agama Syi’ah tidak boleh melakukan taqiyah dalam mut’ah, la taqiyyata fi al-mut'ah (tidak ada taqiyah dalam mut'ah).</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 Umar dan Ibnu Abbas Berlepas Diri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Umar tidak pernah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"Mut'ah halal pada zaman Nabi dan saya melarangnya!"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Tetapi mut’ah dulu halal dan kini Umar menegaskan dan menegakkan hukum keharamannya. Yang demikian itu karena masih ada orang yang melakukannya. Adapun dia mengisyaratkan bahwa dulu memang pernah halal, ya, akan tetapi beberapa waktu setelah itu diharamkan. Di antara yang menguatkan lagi adalah pelarangan ‘Ali ketika menjadi khalifah.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tidak memiliki bukti dari Salaf Shalih kecuali dari Ibnu Abbas Radhiallahu ‘anhu, akan tetapi Ibnu abbas sendiri telah rujuk dan mencabut kembali kebolehannya kembali kepada pengharamannya, ketika di mengetahui larangan dari Rasulullah Shallallahu ‘alaihi wa sallam. Dia (Ibnu Abbas) telah berkata : “Sesungguhnya hal ini perlu saya jelaskan agar sebagian Syi’ah Rafidhoh tidak berhasil mengelabui sebagian kaum Muslimin.” (Sunan Al-Baihaqi 318 100 ; muhammad Al-Ahdal, hal. 251-252)</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kitab Syi’ah sendiri menyebutkan keharamannya, dan Imam Syi’ah ke-enam [yang diangap suci dari kesalahan] telah berkata kepada sebagian sahabatnya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“Telah aku haramkan mut’ah atas kalian berdua”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(Al-Furu’ min Al-Kafi 2 48).</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dalil mereka dengan sebagian hadits-hadits yang ada pada kitab Shahih Ahlussunnah maka hadits-hadits tersebut telah di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nasakh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[dihapus hukumnya]. Hal ini menjadi jelas dari hadits-hadits yang datang mengharamkan setelahnya. Di antara yang menunjukkan mut’ah bukan nikah adalah mereka [syi’ah] memandang bahwa mut’ah boleh dengan berapa saja sekalipun seribu wanita. Ini adalah menyalahi Syari’at yang hanya membolehkan [paling banyak] empat wanita.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Syaikh Mamduh Farhan Al-Buhairi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Asy-Syi’ah minhum ‘alaihim</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[Al-Hujjah Risalah No: 48 / Thn IV / Shafar / 1423H]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 of 4 -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Rule="auto"/>
      <w:jc w:val="center"/>
    </w:pPr>
    <w:rPr>
      <w:rFonts w:ascii="Arial" w:cs="Arial" w:eastAsia="Arial" w:hAnsi="Arial"/>
      <w:b w:val="1"/>
      <w:color w:val="008000"/>
      <w:sz w:val="36"/>
      <w:szCs w:val="36"/>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