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علماء</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سيد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قطب</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 ULAMA UMAT TERHADAP SAYYID QUTHB</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[Bagian 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فوزان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الفوزان</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SHALIH BIN FAUZAN AL-FAUZAN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Pertama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الرقاب</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نظاما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عالميا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تجري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استرقاق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الأسرى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وأعدائهم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يتعارف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الاسترقاق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3/1669</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وكرر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1/230</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المؤمنون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4/2455</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6/3285</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Sayyid Quthb berkata tentang tafsir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(memerdekakan) hamba sahaya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“dan demikianlah ketika perbudakan dulunya merupakan peraturan dunia yang muamalah berlangsung di dalamnya, dalam bentuk perbudakan yang terjadi antara kaum muslimin dengan musuh-musuh mereka. Akan tetapi Islam tidak mengharuskan menggunakan sistem mu’amalah yang serupa, sampai dunia akhirnya mengetahui peraturan lain selain perbudakan.”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(3/169), dan beliau mengulanginya lagi di dalam tafsir surat al-Baqoroh (I/230), surat al-Mu’minun (4/2455) dan surat Muhammad (6/3285).</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العصريين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بادئ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penanya berkata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 sebagian penulis kontemporer yang beranggapan bahwa agama ini terpaksa menerima hukum perbudakan jahiliyah pada permulaannya.”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أعوذ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Shalih berkata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A’udzubillah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(Aku memohon perlindungan kepada Alloh).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أكمل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سؤاله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بتخفيفه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فتح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الكفاراتوغيرها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الإعتاق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الواجب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الموالى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بالتدريج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ينتهي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وبالتالي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مقصود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الشارع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إزالة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النظام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بالتدريج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توجيهكم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Penanya itu menyempurnakan pertanyaannya dengan mengatakan : “Hanya saja dia berpendapat seperti ini untuk meminimalisir dari cara yang dapat membuka pintu bagi orang-orang kafir untuk mengobarkan permusuhan terhadap syariat, (dengan anggapan) bahwa memerdekakan budak wajib secara bertahap sampai selesai/berakhir. Selanjutnya (ia beranggapan) bahwa maksud Sang pemberi syariat (Alloh) adalah menghilangkan hukum ini secara bertahap. Apa arahan anda (terhadap ucapan ini)?</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الفوزان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والعياذ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رغم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يردده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والمفكرين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المفكرين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يسمونهم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الأسف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الدعاة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أبقاه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خوفا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واستنكار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أبقاه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يجامل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وأشار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رفعه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بالتدريج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ينتهي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وإلحاد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والعياذ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إلحاد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واتهام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Shalih Fauzan menanggapi : “Ini adalah ucapan yang batil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walau ironinya hal ini senantiasa diulang-ulang oleh banyak penulis dan pemikir tanpa ada penukilan dari ulama, hanya penukilan dari para pemikir sebagaimana mereka menyebutnya. Sayangnya lagi, hal ini juga diucapkan orang para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du’at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hal ini ada di dalam tafsir Sayyid Quthb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berkata tentang hal ini : sesungguhnya Islam tidak menetapkan adanya perbudakan dan sesungguhnya Islam menetapkan hal ini hanya karena takut akan serangan dan pengingkaran manusia dikarenakan manusia (dulu) telah terbiasa dengan perbudakan. Islam menetapkannya sebagai bentuk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mujamalah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(bersikap baik) yaitu seakan-akan Alloh bersikap baik terhadap manusia, kemudian ia mengisyaratkan atas diangkatnya (hukum perbudakan) secara bertahap hingga akhirnya berhenti. Ucapan ini adalah ucapan yang batil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ilhad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(menyimpang)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ilhad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tuduhan terhadap Islam.</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العذر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نعذرهم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جهال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مقلدون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تفكير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فنعذرهم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خطير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متعمد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ارتد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جهال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تعلموا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ووجدوا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المقالة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ففرحوا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بزعمهم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Sekiranya tidak diberi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‘udzur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(apologi) atas kejahilannya (maka mereka telah kafir), hanya saja mereka semua ini kita beri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udzur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atas kejahilannya oleh karena itu kami tidak mengatakan mereka ini kafir, dikarenakan mereka jahil atau hanya bertaklid dengan menukil pendapat ini tanpa memikirkannya dan kami memberi mereka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udzur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(atas hal ini). Apabila tidak, ucapan yang bahaya ini jika diucapan oleh seseorang secara sengaja maka ia telah murtad keluar dari Islam. Tapi kami berpendapat mereka ini jahil, karena mereka hanyalah sekedar seorang sasterawan atau penulis yang tidak mengetahui, lalu mereka mendapatkan ucapan ini dan mereka bergembira dengannya dan mereka membantah kaum kafir dengan ucapan ini.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يسترق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فأرادوا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يردوا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والجاهل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العدو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يزيد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العدو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ويزيد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العدو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تمسكا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بباطله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بالعاطفة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الـرد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والبرهان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فالواجب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يسكت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خطيرة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يعرفها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Oleh sebab orang kafir mengatakan : sesungguhnya agama Islam itu memperbolehkan manusia dijadikan sebagai hak milik (properti), Islam mencuri (hak) manusia, Islam begini dan begini, lantas mereka (para pemikir dan penulis ini) ingin membantah orang kafir tadi dengan kebodohan. Dan orang jahil itu, apabila membantah seorang musuh, maka ia menyebabkan musuh itu malah bertambah menjadi buruk dan semakin berpegang dengan kebatilannya. Membantah itu haruslah dengan ilmu, tidak dengan luapan perasaan (emosi) atau dengan kejahilan, namun haruslah dengan ilmu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burhan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(argumentasi yang terang). Apabila tidak, maka wajib bagi seseorang untuk diam dan tidak berbicara di dalam perkara yang riskan sedangkan ia tidak mengetahui (ilmu)nya.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متعمدا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مقلدا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يعذر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والجهل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قاتلة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والعياذ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الديانات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السماوية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ومستمر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موجودا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تابع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للجهاد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محاباة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مجاملة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عاجزا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الأصنام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الزنا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جرائم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شجاع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يتوقف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ويجامل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برد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يبطل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Ucapan ini adalah ucapan batil dan barangsiapa mengucapakannya dengan sengaja maka ia kafir. Adapun orang yang mengatakannya karena kejahilannya atau taklid, maka ia diberi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udzur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atas kejahilannya dan kejahilan itu adalah penyakit yang membinasakan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Islam menetapkan perbudakan dan perbudakan itu telah ada semenjak dulu sebelum Islam, ada di dalam agama-agama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samawi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senantiasa ada selama 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jihad fi sabilillah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Sesungguhnya perbudakan akan senantiasa ada karena perbudakan senantiasa menyertai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jihad fi sabilillah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yang demikian inilah hukum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Jalla wa ‘Ala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tanpa ada di dalamnya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muhaabah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(kecondongan cinta)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mujamalah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(kecondongan bersikap baik) terhadap seorang pun. Islam itu bukanlah agama yang lemah di dalam menjelaskan dan menyatakan  “ini batil”, sebagaimana pernyataan Islam terhadap peribadatan kepada berhala-berhala, riba, zina, kejahatan jahiliah, (dll. ) Islam adalah agama yang berani yang tidak bersikap dan berbuat baik kepada manusia (hanya untuk mendapatkan simpati manusia,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namun Islam tegas membantah kebatilan dan menolak kebatilan.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شرعي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شاؤا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وسبب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عقوبة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واستكبر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يرتفع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بالعتق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hukum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kalau sekiranya perbudakan itu batil niscaya tidak ada sikap baik manusia di dalamnya. Bahkan mengatakan hal ini adalah batil dan tidak boleh, karena perbudakan adalah hukum syar’i yang akan senantiasa ada selama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jihad fi sabilillah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ditegakkan baik mereka kehendaki maupun mereka enggan. Iya, alasan adanya perbudakan ini adalah kekufuran kepada Alloh dan perbudakan ini merupakan hukuman bagi orang yang tetap bersikeras di dalam kekufuran dan bersikap sombong dari beribadah hanya kepada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saja dan tidak akan terangkat (status budaknya) kecuali dengan memerdekakannya.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الثلاثاء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4/8/1416</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صححه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rekaman pada hari Selasa, 4/8/1416 kemudian dikoreksi sendiri oleh Syaikh.</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Kedua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الفوزان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يشتمل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وكوننا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نربط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ويأخذون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أفكار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مردود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تفاسير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al-‘Allamah Shalih Fauzan al-Fauzan ditanya tentang (hukum) membaca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syaikh menjawab : “Membaca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perlu dilihat dulu, dikarenakan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mengandung perkara-perkara yang di dalamnya banyak sekali hal yang perlu ditinjau, dan hal ini menyebabkan kita mengikatkan para pemuda dengan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sehingga mereka mengambil pemikiran-pemikiran yang perlu ditinjau kembali di dalamnya. Hal ini bisa jadi menyebabkan dampak yang buruk bagi pemikiran para pemuda. Masih ada buku tafsir Ibnu Katsir dan tafsir-tafsir ulama salaf sangatlah banyak, yang mana tafsir-tafsir ini lebih memadai daripada tafsir semisal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يبحث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الإجمالي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للسور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يعرفه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الزمان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لغوية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وبلاغية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شرعية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مراد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ini pada hakikatnya bukanlah buku tafsir, namun hanyalah buku yang membahas makna ayat secara global pada tiap-tiap suratnya, atau makna al-Qur’an secara umum. Buku ini bukanlah tafsir dengan artian yang difahami para ulama zaman dahulu, yang menjelaskan makna-makna Al-Qur`an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(riwayat), dan menjelaskan apa yang tersembunyi di baliknya dari sisi bahasa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balaghoh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menjelaskan apa yang ada di dalamnya berupa hukum-hukum syariat. Dan sebelum hal itu semua, penjelasan yang dimaksud oleh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(berangkat) dari ayat-ayat dan surat-surat yang lain (yang saling menafsirkan, pent.).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نستطيع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نسميه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موضوعيا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الموضوعي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المعروف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الصوفيات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التعابير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وصف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بالموسيقى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والإيقاعات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الغالب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الربوبية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يركز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الحاكمية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والحاكمية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نوع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وحدها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الألوهية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المطلوبة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يوؤل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طريقة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الضلال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ia merupakan tafsir yang global, mungkin kita dapat menyebutnya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tafsir maudhu’i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(tafsir tematik) yang ia termasuk tafsir tematik yang terkenal di zaman ini. Namun tafsir ini tidak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mu’tamad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(tidak dapat dijadikan sandaran) oleh sebab adanya pemahaman shufiyah di dalamnya, dan ungkapan-ungkapan yang tidak layak bagi Al-Qur`an, seperti mensifati al-Qur`an dengan musik dan not-not nada. Demikian pula tafsir ini  tidak memahami tauhid uluhiyah, dan mayoritas yang disebutkan adalah tauhid rububiyah, sekiranya ia menyebutkan sesuatu tentang tauhid uluhiyah maka ia menfokuskannya pada tauhid hakimiyah. Dan tauhid hakimiyah itu tidak diragukan lagi adalah bagian dari tauhid uluhiyah, namun (tauhid hakimiyah) bukanlah satu-satunya uluhiyah yang dituntut. Ia juga menakwilkan sifat-sifat dengan metode kaum yang sesat. Oleh karena itu buku ini tidak bisa dijadikan sepadan dengan Ibnu Katsir dan selain beliau di dalam masalah tafsir.</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أراه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اختير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والمعنية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والمعنية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الشرعية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pendapatku dan sekiranya dipilih dari buku-buku salaf dan buku-buku yang spesifik membicarakan masalah aqidah, tafsir Al-Qur`an dan hukum-hukum syariat, maka niscaya yang demikian ini lebih layak bagi para pemuda.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مجموع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نصيحته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لقاء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المكرمة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9/8/1412</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صححه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“Kumpulan ucapan Ibnu Baz tentang nasehat beliau secara umum”, pertemuan bersama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Shalih Fauzan, Makkah Mukarramah, 9/8/1412, kemudian dikoreksi kembali oleh Syaikh.</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Ketiga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هداه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تكفيره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لتارك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صدر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العبارات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الشعوب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أغلبهم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تعليق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سماحتكم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seorang penanya menukilkan ucapan saudara ‘Adnan ‘Ar’ur –semoga Alloh memberinya petunjuk- yang mengatakan : Kenapa kita tidak mencela Imam Ahmad ketika beliau mengkafirkan orang yang meninggalkan sholat namun mencela Sayyid Quthb ketika keluar darinya beberapa ungkapan/perkataan (yang bernada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takfir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pent.) dan kita katakan, orang ini (Sayyid) mengkafirkan masyarakat, namun kita tidak mencela Imam Ahmad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telah menghukumi bangsa ini kafir semuanya (yaitu dikarenakan mayoritas mereka tidak menegakkan sholat). Apa komentar anda wahai syaikh yang mulia?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الفوزان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وطرق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الاستدلال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فالتسوية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تارك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متعمدا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دليل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تكفيره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لعموم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خلاف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Shalih al-Fauzan menjawab : Imam Ahmad adalah seorang alim yang berilmu yang mengetahui dalil-dalil dan metode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istidlal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(menggunakan dalil) sedangkan Sayyid Quthb adalah seorang yang jahil yang tidak berilmu, tidak memiliki pengetahuan dan dalil-dalil atas apa yang ia katakan. Maka menyepadankan antara Imam Ahmad dan Sayyid Quthb adalah suatu kezhaliman, dikarenakan Imam (Ahmad) memiliki dalil-dalil yang banyak dari Kitabullah dan Sunnah Rasulullah atas kafirnya orang yang meninggalkan sholat dengan sengaja, sedangkan Sayyid tidak memiliki dalil satupun atas apa yang ia ucapkan di dalam pengkafirannya terhadap kaum muslimin secara umum, bahkan dalil-dalil yang ada menyelisihi apa yang ia katakan.</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قضايا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ومعظم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مصيبا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فأجاب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المنهاج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هاهنا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قضايا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التغيير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الانتخابات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الاغتيالات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وأقصد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الخمسينات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 (Adnan Ar’ur) berkata kembali : tidak seorangpun aku ketahui yang berbicara masalah manhaj serupa dengan apa yang dikatakan oleh Sayyid Quthb, dan hampir keseluruhan buku yang ditulisnya merupakan (bukti) kebenaran hal ini. Adnan ditanya tentang perkataannya ini lalu ia menjawab : 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minhaj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sini yang aku maksudkan adalah perkara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taghyir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(perubahan),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intikhobat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(pemilu)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ightiyalat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(revolusi) dan yang aku maksudkan dengan di zamannya adalah pada tahun 50-an.</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فأجاب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يخالفون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Shalih menjawab : Dia (Adnan) tidak tahu bahwa dirinya (Sayyid) jahil sedangkan kita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walillahil hamd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mengetahui bahwa para ulama yang sezaman dan setelah Sayyid Quthb, mereka semua ini menyelisihi Sayid Quthb. Iya.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إبطال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قواعد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ومقالات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Kaset “Ucapan para ulama di dalam membatalkan kaidah dan ucapan Adnan ‘Ar’ur.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يقال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مجتهدا</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فهو</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مأجور</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جوابا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الاجتهاد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يعذر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بجهله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مجالا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للاجتهاد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توقيفية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Apakah boleh dikatakan bahwa Sayyid Quthb apabila ia seorang mujtahid maka ia mendapatkan ganjaran atas hal itu?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Shalih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hafizhahullahu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menjawab hal ini : Sayid Quthb tidaklah termasuk ahli ijtihad sampai-sampai ia dikatakan seperti itu. Namun kita katakan : sesungguhnya ia jahil dan diberi udzur atas kejahilannya. Kemudian tentang permasalahan aqidah bukanlah bidang yang ijtihad berperan di dalamnya, dikarenakan aqidah itu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tauqifiyah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(tidak ditetapkan melainkan dengan dalil Al-Qur`an dan As-Sunnah yang shahih, pent.).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تعليق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بخطه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حاشية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komentar Syaikh Shalih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tulisan tangannya terhadap catatan kaki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Baro`atu Ulama`il Ummah</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اللحيدان</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SHALIH BIN MUHAMMAD AL-LUHAIDAN</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اللحيدان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مجلد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تنصح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باقتنائه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Shalih bin Muhammad al-Luhaidan ditanya : “Apakah ada di dalam juz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karya Sayyid Quthb suatu yang meragukan atau membimbangkan di dalam perkara yang terkait dengan aqidah, dan apakah anda menasehatkan untuk menelaah buku ini ataukah tidak?</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فأجاب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مليء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يخالف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فالرجـل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يرحم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أموات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المدنية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ينخرط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الأدباء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حصاد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الأطياف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طفل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وأشياء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menjawab : Bahkan buku ini dipenuhi dengan hal-hal yang menyelisihi aqidah. Orang ini (Sayyid Quthb) -semoga Alloh merahmatinya dan kami memohon kepada Alloh agar merahmati semua kaum muslimin yang telah meninggal- ia bukanlah ulama. Ia adalah seorang ahli dalam studi peradaban dan ahli sastera. Ia memiliki buku-buku terdahulu sebelum turut terjun bergabung di dalam ikhwanul muslimin. Ia dulunya seorang yang ahli sastera, ia memiliki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Hishod Adabi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al-Athyaf al-Arba’ah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selainnya, juga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Thiflu minal Qoryah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masih banyak lagi buku-buku sejenis ini. Kemudian dengan kehendak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Jalla wa ‘Ala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berubah haluan dari sikap yang ia dulu berada di atasnya.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نشط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حسنات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أخطأ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أخطاء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خطيرة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كبيرة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أفضى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فنسأل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يعفو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ketika di waktu manusia sedang giat-giatnya di dalam berbicara walaupun sedikit beramal, saat itu ucapan-ucapan tersebut memberikan pengaruh padanya dan kemudian terjadilah apa yang terjadi lalu ia menulis buku ini yang berjudul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Insya Alloh buku ini memiliki beberapa kebaikan akan tetapi buku ini memiliki kesalahan-kesalahan dalam hal aqidah dan terhadap hak para sahabat, kesalahan yang sangat berbahaya sekali. Dan sampailah ia pada apa yang dikemukakan dan kami memohon kepada Alloh agar mengampuni diri kami dan beliau.</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تقرر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الأحكام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يعتمد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للشادي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والناشئ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يتخذها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يعتمد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رجاله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أنصح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يعتني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للمتقدمين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الأئمة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وللتابعين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المعروفين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بسلامة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المعتقد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وغزارة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والتحقيق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مقاصد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الشريعة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وكتبهم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محفوظة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نبيه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أدرى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بمفاهيم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نبيه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الصحاح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والسنن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كالمصنفات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ونحوها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عذر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بالتقصير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يجعل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المتأخرين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حاكمة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المتقدمين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adapun buku-buku beliau, maka buku-buku tersebut tidak mengajarkan aqidah dan tidak pula menetapkan hukum-hukum, dan tidak boleh dijadikan sandaran dalam masalah tersebut. Tidaklah sepatutnya bagi para penuntut ilmu yang antusias dan semangat menjadikannya sebagai buku-buku ilmu yang bersandar kepadanya, karena ilmu itu memiliki buku-bukunya dan memiliki orang-orangnya (yang memang ahli). Saya nasehatkan bagi para penuntut ilmu untuk membaca buku-buku ulama terdahulu seperti buku-buku imam yang empat, para tabi’in, ahli kebenaran dan ulama Islam yang dikenal akan keselamatan aqidahnya dan kedalaman ilmunya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tahqiq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(meneliti) dan menjelaskan maksud-maksud syariat. Dan para ulama seperti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walillahil hamd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sangatlah banyak dan buku-buku mereka terpelihara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bihamdillah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sebagai referensi di dalam masalah ini seluruhnya –berhadapan dengan ucapan manusia- hanyalah dari Kitabullah dan Sunnah Nabi-Nya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serta ucapan salaf (sahabat) yang mana mereka adalah kaum yang lebih mengetahui dan mengenal pemahaman akan Kalamullah dan ucapan nabi-Nya. Dan semuanya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walillahil hamd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terhimpun di dalam buku-buku para ulama seperti kitab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 Sunan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buku-buku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atsar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seperti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mushonnaf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lain sebagainya. Oleh karena itu tidak 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udzur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bagi penuntut ilmu untuk meremehkan (hal ini) dan tidaklah benar menjadikan buku-buku kontemporer sebagai hakim pemutus terhadap buku-buku ulama terdahulu. Iya.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طالب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يجالس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تفريقا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أجالس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الجميع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penanya berkata : Seorang penuntut ilmu bermajlis dengan ahlis sunnah dan ahli bid’ah, dan ia berkata : cukuplah umat ini telah berpecah belah dan aku bermajlis dengan semuanya.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مبتدع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ويدعي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لجمع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الابتداع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يهديه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menjawab : orang ini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mubtadi’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(pelaku bid’ah). Barangsiapa yang tidak membedakan antara kebenaran dan kebatilan, dan mendakwakan bahwasanya hal ini semua (ia lakukan) untuk mempersatukan kalimat maka inilah bentuk perbuatan bid’ah yang mengada-ada tersebut. Semoga Alloh memberikannya petunjuk. Iya.</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الفجر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النبوي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يتاريخ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23/10/1418</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pelajaran selepas sholat Shubuh di Masjid Nabawi tanggap 23/10/1418.</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الغديان</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‘ABDULLAH BIN ‘ABDIRRAHMAN AL-GHUDAYYAN</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قضايا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ومعظم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مصيبا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الطريق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ولماذا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أعدموني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مواضع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وينصح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بقراءتها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سماحتكم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penanya berkata : ‘Adnan ‘Ar’ur berkata : “Tidak seorangpun aku ketahui yang berbicara masalah manhaj serupa dengan apa yang dikatakan oleh Sayyid Quthb, dan hampir keseluruhan buku yang ditulisnya merupakan (bukti) kebenaran hal ini. Diantara buku-buku utama beliau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 Ma’alim ‘alath Thoriq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Limadza A’damuni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Padahal di kesempatan lain ia (Adnan) secara tegas-tegas menyatakan bahwasanya ia belum membaca buku-buku ini namun ia menganjurkan para pemuda untuk membacanya. Apa tanggapan yang mulia (terhadap hal ini)?</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الغديان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ينصحون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قراءتها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يقتصرون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دلالة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ودلالة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الخلفاء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والصحابة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والتابعين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Fadhilatusy Syaikh ‘Abdullah al-Ghudayyan menjawab : Jawabanku adalah bahwasanya para pemuda dianjurkan untuk tidak membaca buku-buku ini dan mereka dicukupkan hanya pada dalil-dalil Al-Qur`an, as-Sunnah dan apa yang para khalifah yang empat, para sahabat dan para tabi’in berada di atasnya.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إبطال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قواعد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ومقالات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“Ucapan para ulama di dalam membatalkan kaidah dan ucapan Adnan ‘Ar’ur”.</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[Bersambung insya Alloh]</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