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فتاوى</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علماء</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الأمة</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سيد</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قطب</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رحمه</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1"/>
        </w:rPr>
        <w:t xml:space="preserve">الله</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FATWA ULAMA UMAT TERHADAP SAYYID QUTHB</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[Bagian 1]</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الإمام</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العزيز</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باز</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IMAM ABDUL ‘AZIZ BIN BAZ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RAHIMAHULLAHU</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Pertama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عفا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العرش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استوى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الاستواء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العرش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فنملك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كناية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الهيمنة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الخلق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(4/2328)، (6/3408)</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1406</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Sayyid Quthb -semoga Alloh mengampuninya- berkata di dalam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(menafsirkan) firman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Ar-Rahman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(Alloh yang Maha Pemurah) yang ber</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Arsy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[Thoha : 5] : “Adapun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istiwa`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Arsy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dapat kita katakan bahwasanya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 merupakan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kinayah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(kiasan) dari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al-Haimanah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(penguasaan) atas makhluk (ciptaan)-Nya ini.”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Azh-Zhilal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(4/2328), (6/3408) cet. Ke-12, 1406, Darul ‘Ilmi].</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سماحة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فاسد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معناه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الهيمنة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أثبت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الاستواء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معناه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إنكار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الاستواء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المعروف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العرش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يدل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مسكين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ضايع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Samahatusy Syaikh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‘Abdul ‘Aziz bin Baz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berkata : “Ini semua adalah ucapan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fasid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(rusak), (ia mengatakan) hal ini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maknanya adalah penguasaan, dan ia tidak menetapkan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 artinya ia mengingkari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telah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ma’ruf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(diketahui maknanya), yaitu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al-‘Uluw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(ketinggian)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Arsy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Pendapatnya ini batil menunjukkan bahwa dirinya adalah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miskin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(lemah)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dhoyi’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(kosong ilmu) terhadap tafsir.”</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لسماحته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الحاضرين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يوصي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بقراءة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دائما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سماحة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غلط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غلط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غلط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Tatkala salah seorang dari hadirin berkata kepada syaikh yang mulia bahwa ada sebagian ulama yang menasehatkan untuk senantiasa membaca kitab ini,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Samahatusy Syaikh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Ibnu Baz menukas : “Orang yang mengatakan demikian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gholath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(keliru)... tidak... ia keliru... yang mengatakan demikian keliru, kelak kami akan menulis tentangnya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insya Alloh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درس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لسماحته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منزله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بالرياض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1413</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تسجيلات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منهاج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بالرياض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Pelajaran Syaikh mulia di kediaman beliau di Riyadh tahun 1413 H, rekaman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Minhahus Sunnah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Riyadh.</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Kedua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التصوير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موسى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لنأخذ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موسى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نموذج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للزعيم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المندفع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العصبي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المزاج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ودخل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المدينة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غفلة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فوجد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رجلين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يقتتلان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شيعته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عدوه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فاستغاثه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شيعته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عدوه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فوكزه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موسى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فقضى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يبدوا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التعصب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القومي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يبدو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الانفعال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العصبي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وسرعان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تذهب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الدفعة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العصبية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فيثوب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نفسه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العصبيين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فأصبح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المدينة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خائفا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يترقب</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تعبير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مصور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لهيئة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معروفة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هيئة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المتفزع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المتلفت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المتوقع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للشر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حركة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العصبيين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التصوير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 201، 203</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الشروق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Sayyid Quthb berkata di dalam bukunya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at-Tashwir al-Fanni fil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tentang Musa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‘alaihis Salam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”Kita ambil contoh Musa, sesungguhnya beliau adalah contoh figur seorang pemimpin yang emosional, fanatik dan ingin menang sendiri...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Musa masuk ke kota (Memphis) ketika penduduknya sedang lengah, Maka didapatinya di dalam kota itu dua orang laki-laki yang berkelahi, yang seorang dari golongannya (Bani Israil) dan seorang (lagi) dari musuhnya (kaum Fir'aun). Maka orang yang dari golongannya meminta pertolongan kepadanya, untuk mengalahkan orang yang dari musuhnya lalu Musa meninjunya, dan matilah musuhnya itu.</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[QS al-Qoshshosh : 15). Di sini, tampak kefanatikan kesukuan beliau (Nabi Musa) sebagaimana tampak pula sentimen kesukuan dan betapa cepatnya naluri kefanatikan beliau bergolak, sehingga terbalas atas diri beliau urusan dendam orang-orang yang fanatik.” Kemudian beliau (Sayyid Quthb) berkata tentang firman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Karena itu jadilah Musa di kota itu merasa takut menunggu-nunggu dengan rasa khawatir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Berkata Sayyid Quthb : “hal itu merupakan suatu ungkapan yang menggambarkan keadaan suatu kondisi yang telah diketahui, yaitu kondisi orang yang khawatir ketakutan dan merasa was-was dengan keburukan dari tiap gerak-geriknya, dan inilah ciri orang-orang yang fanatik itu.”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Tashwirul Fanni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(200,201,203), cet. Ke-13, Darul Masyruq.]</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سماحة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قرىء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الاستهزاء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بالأنبياء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مستقلة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Berkata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Samahatusy Syaikh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 ‘Aziz bin Baz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tatkala dibacakan kepada beliau ucapan ini : “Menghujat para Nabi adalah perbuatan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murtad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mengeluarkan dari Islam.”</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درس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لسماحته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منزله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بالرياض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1413</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تسجيلات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منهاج</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بالرياض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Pelajaran Syaikh mulia di kediaman beliau di Riyadh tahun 1413 H, rekaman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Minhahus Sunnah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Riyadh.</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Ketiga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وشخصيات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242</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معاوية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سفيان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وعمرو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رضي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عنهما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معاوية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وزميله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عمرا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يغلبا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أعرف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بدخائل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النفوس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وأخبر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بالتصرف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النافع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الظرف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المناسب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طليقان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استخدام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سلاح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مقيد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بأخلاقه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اختيار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الصراع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وحين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معاوية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وزميله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الكذب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والغش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والخديعة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والنفاق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والرشوة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وشراء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الذمم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يملك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يتدلى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الدرك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الأسفل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عجب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ينجحان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ويفشل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لفشل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أشرف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نجاح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Berkata Sayyid Quthb di dalam bukunya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Kutub wa Syakhshiyat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(hal. 242) tentang Mu’awiyah bin Abi Sufyan dan ‘Amr bin ‘Ash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radhiyallahu ‘anhuma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“Sesungguhnya Mu’awiyah dan rekannya ‘Amr, keduanya tidaklah dikatakan dapat mengalahkan ‘Ali hanya karena keduanya adalah orang yang lebih memahami tentang seluk-beluk kejiwaan ketimbang ‘Ali dan lebih berpengalaman darinya tentang aktivitas yang lebih menguntungkan pada waktu yang tepat. Namun, hal ini lebih lebih dikarenakan keduanya lebih mahir di dalam menggunakan berbagai “senjata”, sedangkan ‘Ali terikat dengan akhlak beliau di dalam memilih sarana-sarana untuk bertempur. Dan tatkala Mu’awiyah dan rekannya lebih condong untuk melakukan dusta, tipu daya, kecurangan, kemunafikan dan penyuapan serta jual beli darah, ‘Ali tidak memiliki kemampuan untuk berlaku serupa apalagi perbuatan yang paling rendah dari ini. Oleh karena itu tidaklah heran apabila keduanya berhasil sedangkan Ali gagal. Namun sungguh kegagalan ini jauh lebih mulia daripada segala bentuk keberhasilan.”</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وقرىء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قبيح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قبيح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لمعاوية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وسب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لعمرو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قبيح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معاوية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وعمرو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معهما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مجتهدون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أخطأوا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superscript"/>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والمجتهدون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أخطأوا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يعفوا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وعنهم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‘Abdul ‘Aziz bin Baz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ketika ditanyakan tentang ucapan ini dan dibacakan kepada beliau mengatakan : “Ini adalah perkataan jelek!! Ini perkataan yang sunguh jelek, yaitu mencela Mu’awiyah dan ‘Amr bin ‘Ash. Semua ucapan ini adalah ucapan yang jelek dan ucapan yang mungkar. Mu’awiyah, ‘Amr dan orang-orang yang beserta mereka adalah para mujtahid yang tersalah*. Dan para mujtahid itu apabila tersalah maka semoga Alloh mengampuni kita dan mereka.”</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نفاقا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تكفيرا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Berkata seorang penanya : “ucapan Sayyid “sesungguhnya keduanya telah berlaku munafik” bukankah ini termasuk pengkafiran?”</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خطأ</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وغلط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كفرا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الصحابة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وفسق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يستحق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يؤدب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نسأل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العافية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الأكثر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فسقهم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يرتد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حملة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الشرع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معناه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الشرع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‘Abdul ‘Aziz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menjawab : “Ini salah dan keliru namun tidak menjadikan kafir. Sesungguhnya pencelaan terhadap sebagian sahabat atau salah seorang sahabat adalah suatu kemungkaran dan kefasikan yang harus diberi hukuman atas pelakunya –kami memohon keselematan kepada Alloh-, akan tetapi apabila ia mencela mayoritas sahabat atau menfasikkan mereka, maka ia telah murtad dikarenakan mereka –para sahabat- adalah pembawa syariat. Apabila ia mencela mereka maka ini artinya sama dengan mencela syariat.”</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ينهى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penanya berkata : “Tidakkah lebih baik buku-buku yang di dalamnya terdapat ucapan-ucapan semisal ini dilarang saja?”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سماحة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ينبغي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تمزق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جريدة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Samahatusy Syaikh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‘Abdul ‘Aziz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berkata : “Bahkan lebih tepat disobek-sobek.” Kemudian Syaikh berkata : “Apakah ucapan ini terdapat di surat kabar?”</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أحسن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إليك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Penanya menjawab : “Di dalam sebuah buku (wahai Syaikh) semoga Alloh berbuat kebaikan kepada anda.”</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Berkata Syaikh ‘Abdul ‘Aziz : “karangan siapa?”</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Penanya menjawab : “karangan Sayyid Quthb”.</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قبيح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‘Abdul ‘Aziz berkata : “ini ucapan yang buruk”</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وشخصيات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Penanya berkata : “di dalam bukunya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Kutub wa Syakhshiyat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رياض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الصالحين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لسماحته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بتاريخ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18/7/1416</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Syarh Riyadhish Shalihin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diasuh oleh Samahatusy Syaikh pada tanggal 18/7/1416 H.</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العلامة</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المحدث</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ناصر</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الدين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الألباني</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AL-‘ALLAMAH AL-MUHADDITS MUHAMMAD NASHIRUDDIN AL-ALBANI</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Pertama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العلامة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المحدث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ناصر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الألباني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معلقا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خاتمة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العواصم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القواصم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Berkata al-‘Allamah al-Muhaddits Muhammad Nashiruddin al-Albani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mengomentari penutup buku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al-‘Awashim mimma fi Sayyid Quthb minal Qawashim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رددته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صواب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يتبين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قارئ</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الثقافة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معرفة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بأصوله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وفروعه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فجزاك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الجزاء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الربيع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قيامك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بواجب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البيان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والكشف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جهله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وانحرافه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“Semua apa yang anda bantah dari Sayyid Quthb adalah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benar. Darinya akan menjadi jelas bagi setiap pembaca  sebagai suatu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tsaqofah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(wawasan) islamiyyah bahwasanya Sayyid Quthb tidaklah mengetahui Islam baik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ushul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maupun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furu’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-nya. Semoga Alloh mengganjar anda dengan ganjaran yang baik wahai saudara Rabi’ atas upaya anda di dalam menunaikan kewajiban menjelaskan dan menyingkap kejahilan dan penyimpangan Sayyiq Quthb terhadap Islam.”</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ورقة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بخط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الألباني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حياته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Dari sebuah kertas dengan tulisan tangan Syaikh al-Albani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beliau tuliskan pada akhir hayat beliau.</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kedua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العلامة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المحدث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ناصر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الألباني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مناقشة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لشخص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بالنسبة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تسمع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عزام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Berkata al-‘Allamah al-Muhaddits Muhammad Nashiruddin al-Albani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dalam suatu percakapan diskusi dengan seseorang : “Aku pernah berkata pada suatu hari terdahulu yang berkaitan tentang Sayyid Quthb. Engkau mendengar dari Syaikh ‘Abdullah ‘Azzam?</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نعم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Penanya berkata : “iya”</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جزاك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خيرا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عزام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قريب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سنين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ثمان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سنين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المسلمون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اتخذوا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قرارا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بمقاطعة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الألباني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مقاطعة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دروسه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ومقاطعة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ينتمي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دعوته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عزام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الإخوان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يسمع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الألباني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جلسة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الحضور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ومعه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دفتر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هيك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هيك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جدا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خلاصات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berkata : “Semoga Alloh membalas anda dengan kebaikan. ‘Abdullah ‘Azzam dahulunya di sini termasuk al-Ikhwanil Muslimin. Dan semenjak hampir tujuh atau delapan tahunan, al-Ikhwanul Muslimun membuat suatu keputusan untuk mengisolir al-Albani, mengisolir pelajaran-pelajarannya dan mengisolir semua orang yang berafiliasi kepada dakwahnya. Ketahuilah, ‘Abdullah ‘Azzam ini dulunya adalah satu-satunya orang dari Ikhwanul Muslimin yang apabila ia mendengar bahwa Syaikh al-Albani memiliki majelis pengajian di suatu daerah ini, pastilah ia menjadi orang yang pertama kali hadir di majelis itu dengan membawa buku catatan kecil dan pena yang sangat kecil, ia menulis di dalamnya kesimpulan-kesimpulan (pengajian).</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الودود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حقا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صدر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مقاطعة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الألباني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عاد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حضر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الألباني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إطلاقا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لقيته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مسجد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صهيب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ونحن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خارجون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الصلاة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سلمت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بطبيعة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وسل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استحياء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يخالف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Orang yang tersayang ini, benar-benar, tatkala keluar keputusan Ikhwanul Muslimin untuk mengisolir al-Albani, ia tidak pernah hadir kembali di majelis al-Albani sama sekali. Aku bertemu dengannya di Masjid Shuhaib dan kami ketika itu sedang keluar dari Masjid. Aku memberikan salam padanya sebagaimana biasanya, dan ia membalas salamku dengan sedikit malu-malu, dikarenakan ia tidak mau menyelisihi keputusan (Ikhwanul Muslimin).</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الإسلام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يأمركم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عزام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سحابة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صيف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قريب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تنقشع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Aku berkata kepadanya : “Apa-apaan ini wahai syaikh, apakah begini Islam memerintahkan anda?”  Ia –yaitu ‘Abdullah ‘Azzam- menjawab : “Awan musim kemarau yang sebentar lagi ini akan lenyap.”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عاود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راحت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وجاءت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زارني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البيت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وجدني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الخلاصة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بتتبع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الأخبار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نظام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تحت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البلد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طرق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دخل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وسهلا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جئت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البيت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وجدتك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حريص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الاستفادة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أعرف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المقاطعة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kembali melanjutkan perkataannya : “Hari-hari telah berlalu dan datang hari-hari lainnya”. Suatu hari ia datang mengunjungiku di rumah namun ia tidak menjumpaiku. Singkat cerita ia mencari berita tentangku lalu ia mengetahui bahwa diriku sedang berada di rumah Nizham (menantu Syaikh al-Albani) dimana rumahnya berada di dataran rendah. Ia mengetuk pintu lalu masuk,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Ahlan wa Sahlan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(selamat datang), lalu ia berkata : “aku mendatangi rumah anda namun aku tidak menjumpai anda. Aku sebagaimana anda ketahui, benar-benar antusias untuk mengambil faidah dari ilmu anda dari percakapan ini.” Aku berkata kepadanya : “aku tahu tentang hal ini, tapi kenapa koq sampai ada pengisoliran terhadapku segala?”</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الشاهد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يقرر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عقيدة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وحدة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الحديد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أظن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وثانيا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بـ</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نعم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الصوفية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يمكن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يفهم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بوحدة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نحن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قاعدتنا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وأنت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أعرف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لأنك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تتابع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جلساتي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أنسانا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إقامة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الحجة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فكيف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أنتم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تعلنون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المقاطعة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ظهرانيكم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كلمة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واضحة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جئت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تبعثوا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شخص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يتحقق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صحيح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Ia (‘Abdullah ‘Azzam) berkata : “Anda telah mengkafirkan Sayyid Quthb –dan ini adalah buktinya-.” Aku berkata kepadanya : “Bagaimana aku mengkafirkannya?” Ia berkata : “Anda mengatakan bahwa ia (Sayyid Quthb) –pertama- menetapkan aqidah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Wihdatul Wujud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dalam tafsir surat al-Hadid –menurut perkiraanku -, dan yang kedua, dalam surat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Qul huwallohu ahad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Aku (Syaikh al-Albani) berkata : “Benar, ia (Sayyid) mencuplik ucapan-ucapan Shufiyah yang tidak mungkin difahami darinya melainkan ia berpendapat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wahdatul wujud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Akan tetapi kami dengan kaidah kami –sedangkan engkau adalah manusia yang paling mengetahui hal ini karena engkau selalu mengikuti majlisku- kami tidak mengkafirkan seorang manusia walaupun ia jatuh ke dalam kekufuran kecuali setelah ditegakkan hujjah. Bagaimana bisa kalian mengumumkan pengisoliran ini sedangkan aku berada bersama kalian... (ucapan tidak jelas). Anda, apabila tidak bisa datang, maka anda bisa mengutus seseorang untuk menverifikasi kebenaran tentang apakah saya mengkafirkan Sayyid Quthb.</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يومئذ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لنظام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أخونا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السطري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فتح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يؤمن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ورسوله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والتوحيد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أخي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نحن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أنكرنا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أنكرنا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الباطل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ورغم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الجلسة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راح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نشر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مقالتين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ثلاثة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بصورة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متتابعة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المجتمع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الكويت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بعنوان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ضخم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الألباني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والقصة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طويلة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جدا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الشاهد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Suatu hari, ketika ia bersama Nizham datang saudara kita ‘Ali as-Sathiri. Aku berkata kepadanya : “Sayyid Quthb begini berkata di dalam surat ini”. Kemudian ia bangkit sembari membuka di tempat lain (dalam buku Sayyid Quthb untuk menunjukkan,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bahwasanya orang tersebut (Sayyid Quthb) adalah orang yang mengimani Alloh, Rasul-Nya, tauhid... dst. Kami berkata kepadanya : “wahai saudaraku, kami tidak mengingkari kebenaran yang diucapkannya (Sayyid Quthb) ini. Akan tetapi kami mengingkari kebatilan yang diucapkan olehnya.” Walaupun dengan adanya pertemuan ini, namun setelah berlalunya waktu, ia menyebarkan dua makalah atau tiga secara berturut-turut di Majalah “al-Mujtama’”</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Kuwait dengan judul yang besar “Syaikh Albani mengkafirkan Sayyid Quthb”. Kisah di dalam majalah itu sangat panjang sekali, namun dimana bukti di dalamnya?</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نحن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هيك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ونقول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هيك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يأخذ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كفره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الألباني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يأخذ</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الألباني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أثنى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أهواء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أخي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هؤلاء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سبيل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طريقهم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ندعـو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لهـم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أفأنت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مؤمنين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اهـ</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Kami berkata demikianlah dan demikianlah, maka barangsiapa yang memahami bahwa sesungguhnya Sayyid Quthb dikafirkan oleh al-Albani sebagaimana ia (‘Abdullah ‘Azzam) memahaminya, sesungguhnya –demi Alloh- Syaikh Albani telah memuji Sayyid Quthb pada tempat tertentu. Mereka semua adalah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ahlul ahwa`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wahai saudaraku! Mereka, tidak ada jalan bagi kami untuk mensikapi cara mereka ini melainkan dengan mendoakan bagi mereka saja. Apakah anda mampu memaksa manusia agar mereka semua menjadi orang mukmin?</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شريط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بعنوان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مفاهيم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تصحح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Kaset rekaman syaikh yang berjudul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Mafahim Yajibu an Tushohah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فتوى</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العلامة</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1"/>
        </w:rPr>
        <w:t xml:space="preserve">العثيمين</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AL-‘ALLAMAH ASY-SYAIKH MUHAMMAD BIN SHOLIH AL-‘UTSAIMIN</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Pertama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العلامة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العثيمين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أثابكم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أرجو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إجابتي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السؤال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الكثير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تجاوزات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الوحيد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أسمعه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سمعته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طلبة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مؤخرا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أقتنع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بوحدة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وطبعا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كفر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صريح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بوحدة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أرجو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الإجابة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جزاكم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خيرا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Fadhilatusy Syaikh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al-‘Allamah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Muhammad bin Shalih al-‘Utsaimin ditanya : “Semoga Alloh memberikan pahala kepada anda, saya berharap jawaban atas pertanyaan ini : sesungguhnya kita banyak mengetahui tentang penyelewengan Sayyid Quthb, akan tetapi ada satu hal yang aku belum pernah mendengar darinya, yang pada akhirnya aku telah mendengarnya dari salah seorang penuntut ilmu namun aku belum merasa puas dengannya. Ia (penuntut ilmu itu) berkata : “Sesungguhnya Sayyid Quthb itu termasuk orang orang berkata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wahdatul wujud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Tentu saja ini merupakan kekufuran yang nyata. Apakah Sayyid Quthb termasuk orang yang berkata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wahdatul wujud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Saya mengharapkan jawaban anda, semoga Alloh membalas anda dengan kebaikan.</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مطالعتي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قليلة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يتعلق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بمؤلفه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ملاحظات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مثـل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كتبـه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الشيـخ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الدويش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أخونا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ربيع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المدخلي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ملاحظات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يراجعها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فليراجعها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Muhammad menjawab : “Penelaahan saya terhadap buku-buku Sayyid Quthb amatlah minim dan saya tidak begitu mengetahui keadaan orang ini. Namun, ada beberapa ulama yang telah menulis hal-hal yang berkaitan dengan buku Sayyid Quthb yaitu tafsir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Mereka menulis beberapa koreksi terhadap tafsirnya, seperti yang ditulis oleh Syaikh ‘Abdullah ad-Duwaisy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apa yang ditulis oleh saudara kami Rabi’ ad-Madkholi berupa koreksian atasnya, yaitu atas Sayyid Quthb di dalam tafsirnya dan selainnya. Barangsiapa yang mau menelaahnya maka silakan menelaahnya.”</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شريط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اللقاء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المفتوح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العثيمين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والمدخلي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بجده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بتاريخ</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24/2/1421</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Kaset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al-Liqo`ul Maftuh baina asy-Syaikhaini al-‘Utsaimin wal Madkholi bi Jiddah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Kemudian ditandatangani oleh Syaikh Muhammad pada tanggal 24/2/1421.</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Kedua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الإخلاص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أحدية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حقيقة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حقيقته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هناك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حقيقي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وجوده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يستمد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وجوده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الحقيقي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ويستمد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حقيقته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الحقيقة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الذاتية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أحدية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الفاعلية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سواه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فاعلا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لشيء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فاعلا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شيء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أصلا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عقيدة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الضمير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6/4002،4003</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العرش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استوى</w:t>
      </w:r>
      <w:r w:rsidDel="00000000" w:rsidR="00000000" w:rsidRPr="00000000">
        <w:rPr>
          <w:rFonts w:ascii="Verdana" w:cs="Verdana" w:eastAsia="Verdana" w:hAnsi="Verdana"/>
          <w:b w:val="0"/>
          <w:i w:val="0"/>
          <w:smallCaps w:val="0"/>
          <w:strike w:val="0"/>
          <w:color w:val="000000"/>
          <w:sz w:val="40"/>
          <w:szCs w:val="40"/>
          <w:u w:val="none"/>
          <w:shd w:fill="auto" w:val="clear"/>
          <w:vertAlign w:val="baseline"/>
          <w:rtl w:val="0"/>
        </w:rPr>
        <w:t xml:space="preserve"></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الاستواء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العرش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فنملك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كناية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الهيمنة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الخلق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4/2328)،(6/3408</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1406</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Berkata Sayyid Quthb tentang tafsir surat al-Ikhlash di dalam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Zhilalul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“Sesungguhnya ia adalah wujud yang tunggal, tidak ada hakikat kecuali hakikat-Nya, dan tidak ada suatu wujud yang hakiki melainkan wujud-Nya. Dan setiap suatu yang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maujud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(eksis) lainnya, maka sesungguhnya wujudnya bersandar pada wujud hakiki itu dan hakikatnya bersandar pada hakikat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dzatiyah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itu, dan karena itulah ia adalah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fa’iliyah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(perbuatan) yang tunggal, tidak ada selain-Nya melakukan sesuatu atau berbuat suatu hal di dalam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wujud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(eksistensi) ini secara asal/pokok, dan ini merupakan aqidah di dalam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dhamir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(bentuk) dan tafsir terhadap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wujud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azh-Zhilal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(VI/4002-4003)].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Ia juga berkata menafsirkan firman Alloh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Ar-Rahman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(Alloh yang maha pemurah) yang bersemayam 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Arsy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“Adapun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istiwa`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 atas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Arsy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dapat kita katakan bahwasanya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ini merupakan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kinayah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(kiasan) dari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al-Haimanah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(penguasaan) atas makhluk (ciptaan)-Nya ini.”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Azh-Zhilal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(4/2328), (6/3408) cet. Ke-12, 1406, Darul ‘Ilmi].</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العلامة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صالح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العثيمين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حفظه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صاحب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ومنهجه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Fadhilatusy Syaikh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al-‘Allamah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Muhammad bin Shalih al-‘Utsaimin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ditanya tentang penulis kitab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manhajnya di dalam tafsir?</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وكتابه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الأخرى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وتفسيـر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سعـدي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وتفسيـر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القرطبي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علـى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فيـه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التساهـل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الحديـث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وتفسيـر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الجزائري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الغنى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والكفاية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ألف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كالدويش</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والألباني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الملاحظات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وهي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مدونة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وموجودة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أطلع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بكامله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وإنما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قرأت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الإخلاص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عظيما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مخالفا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أهل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والجماعة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يدل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بوحدة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الوجود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للاستواء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الهيمنة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والسيطرة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صاحبه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ويجب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طلاب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يجعلوا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غيره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سببا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للخلاف</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والشقاق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بينهم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الولاء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والبراء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Beliau menjawab : “Bahwasanya telah banyak perbincangan terhadap orang ini dan bukunya. Dan di dalam buku-buku tafsir lainnya semisal tafsir Ibnu Katsir, tafsir ibnu Sa’di, tafsir al-Qurthubi –selain dari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tasahul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(terlalu mudahnya) di dalam (menilai) hadits-  dan tafsir (Abu Bakar) al-Jaza`iri lebih kaya dan lebih mencukupi seribu kali daripada buku ini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Sebagian ulama semisal ad-Duwaisy dan al-Albani telah menyebutkan beberapa koreksi atas buku ini, dan koreksian ini telah dicetak dan dibukukan. Aku belum menelaah buku ini secara sempurna, hanya saja yang telah aku baca adalah tafsirnya tentang surat al-Ikhlash, dan ia telah berkata dengan perkataan yang dahsyat yang di dalamnya menyelisihi (aqidah) ahlus sunnah wal jama’ah, dimana tafsirannya terhadap ayat itu menunjukkan bahwa dirinya berkata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wahdatul wujud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Demikian pula dengan tafsirannya terhadap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dimaknai dengan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al-Haimanah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(pemeliharaan)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as-Saithoroh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(penguasaan). Perlu diketahui, bahwasanya buku ini bukanlah buku tafsir. Penulisnya sendiri saja menyebutnya sebagai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Zhilalul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Wajib atas para penuntut ilmu untuk tidak menjadikan orang ini atau selainnya sebagai sebab perselisihan dan perpecahan diantara mereka, dan agar menempatkan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wala`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baginya atau atasnya.”</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مجلة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الدعوة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عدد</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1591- 9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محرم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1418</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بتاريخ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24/2/1421</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Majalah ad-Da’wah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1591, tanggal 9 Muharam 1418, kemudian syaikh menandatanginya tanggal 24/2/1421.</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Fatwa Ketiga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السائل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سماحتكم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رجل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ينصح</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الشباب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بقراءة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ويخص</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ظلال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معالم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الطريق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لماذا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أعدموني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الأخطاء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والضلالات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الموجودة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Seorang penanya berkata : “Apa pendapat yang mulia terhadap seseorang yang menasehatkan para pemuda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sunni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untuk membaca buku-buku Sayyid Quthb, terutama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 Zhilalil Qur`an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Ma’alim fith Thariq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Limadza a’damuni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tanpa menjelaskan kesalahan-kesalahan dan kesesatan-kesesatan yang terdapat di dalam buku-buku tersebut?</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فقال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عثيمين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حفظه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قولي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بارك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ناصحا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ورسوله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ولإخوانه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يحث</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قراءة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الأقدمين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وغير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فهي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أبرك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وأنفع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وأحسن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المتأخرين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سيد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قطب</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رحمه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طوام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لكن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نرجو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يعفو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عنه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طوام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كتفسيره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للاستواء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br w:type="textWrapping"/>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وتفسيره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سورة</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وكذلك</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وصفه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لبعض</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الرسل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بما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ينبغي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يصفه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Syaikh Ibnu ‘Utsaimin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hafizhahullahu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sekarang,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pent.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menjawab : “pendapatku –semoga Alloh memberkahi anda- bahwa barang siapa yang memberikan nasehat karena Alloh, Rasul-Nya dan bagi saudara-saudaranya muslim, supaya menganjurkan manusia membaca buku-buku orang terdahulu baik di dalam masalah tafsir maupun selain tafsir, karena hal ini lebih berbarakah, lebih bermanfaat dan lebih baik daripada buku-buku kontemporer. Adapun tafsir Sayyid Quthb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rahimahullahu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maka di dalamnya ada kekeliruan, akan tetapi kami memohon kepada Alloh agar mengampuninya. Di dalam tafsirnya ada kekeliruan seperti tafsirnya tentang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istiwa`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tafsirnya tentang surat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qul huwallohu ahad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demikian pula dengan pensifatannya kepada sebagian rasul dengan sifat yang tidak layak.”</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المرجع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شريط</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إبطال</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قواعد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ومقالات</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عدنان</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عرعور</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ق</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1"/>
        </w:rPr>
        <w:t xml:space="preserve">بتاريخ</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24/2/1421</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Sumber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Kaset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Aqwalul ‘Ulama` fi Ibthalil Qowa`id wa Maqolat ‘Adnan ‘Ar’ur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kemudian syaikh menandatanginya pada tanggal 24/2/1421.</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[Bersambung insya Alloh]</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Berkata Fadhilatusy Syaikh Shalih al-Fauzan :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الجزم</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بخطئهما</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غير</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واضح</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فلو</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قيل</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مجتهدون</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إن</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أصابوا</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فلهم</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أجران</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وإن</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أخطأوا</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فلهم</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أجر</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واحد</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وخطؤهم</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مغفور</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 ؛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لكان</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أحسن</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1"/>
        </w:rPr>
        <w:t xml:space="preserve">وأعدل</w:t>
      </w:r>
      <w:r w:rsidDel="00000000" w:rsidR="00000000" w:rsidRPr="00000000">
        <w:rPr>
          <w:rFonts w:ascii="Arial Narrow" w:cs="Arial Narrow" w:eastAsia="Arial Narrow" w:hAnsi="Arial Narrow"/>
          <w:b w:val="0"/>
          <w:i w:val="0"/>
          <w:smallCaps w:val="0"/>
          <w:strike w:val="0"/>
          <w:color w:val="000000"/>
          <w:sz w:val="28"/>
          <w:szCs w:val="28"/>
          <w:u w:val="none"/>
          <w:shd w:fill="auto" w:val="clear"/>
          <w:vertAlign w:val="baseline"/>
          <w:rtl w:val="1"/>
        </w:rPr>
        <w:t xml:space="preserve">)</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Pemastian akan kesalahan keduanya adalah tidak jelas. Sekiranya dikatakan : mereka adalah mujtahid yang apabila benar mendapatkan dua pahala dan apabila salah mereka mendapatkan satu pahala dan kesalahan mereka terampuni, niscaya yang demikian ini lebih baik dan lebih obyektif.</w:t>
      </w:r>
    </w:p>
  </w:footnote>
  <w:footnote w:id="1">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Majalah Ikhwanul Muslimin</w:t>
      </w:r>
    </w:p>
  </w:footnote>
  <w:footnote w:id="2">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aksudnya : biar bagaimanapun cara kita menjelaskan, apabila mereka tidak faham mereka tidak bakal faham, kewajiban kita hanya menyampaikan adapun hasil bukanlah tanggung jawab kita </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pent.</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superscript"/>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