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BUKU HADITS DAN AQIDAH YANG DIANJURKAN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IMAM IBNU BAZ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Imam Ibnu Baz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rahimahullahu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ditanya : “Apa saja kitab-kitab yang anda nasehatkan kepada kami untuk selalu membacanya dalam bidang aqidah?”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Beliau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rahimahullahu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menjawab: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Sebaik-baik kitab yang dibaca dalam masalah aqidah, hukum dan akhlaq adalah kitab Allah, yaitu Al-Qur’an. Ia adalah kitab yang tidak akan tertimpa kebatilan sedikit pun, karena ia diturunkan dari Allah Yang Maha Bijaksana dan Maha Terpuji.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Allah telah berfirman,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“Sesungguhnya Al Qur'an ini memberikan petunjuk kepada jalan yang lebih lurus dan memberi khabar gembira kepada orang-orang Mu'min yang mengerjakan amal saleh, bahwa bagi mereka ada pahala yang besar.”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(QS. Al-Isra`: 9)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 juga berfirman,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“Katakanlah: "Al Qur'an itu adalah petunjuk dan penawar bagi orang-orang yang beriman.”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(QS. Fushshilat: 44)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Juga berfirman,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“Ini adalah sebuah kitab yang Kami turunkan kepadamu, ia penuh dengan berkah, supaya mereka memperhatikan ayat-ayatnya dan supaya mendapat pelajaran orang-orang yang mempunyai pikiran.”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(QS. Shaad: 29)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Juga Berfirman,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“Dan Al Qur'an itu adalah kitab yang Kami turunkan yang diberkati, maka ikutilah dia dan bertakwalah agar kamu diberi rahmat.”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(QS. Al-An`am: 155)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Juga Berfirman,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“Dan Kami turunkan kepadamu Al Kitab (Al Qur'an) untuk menjelaskan segala sesuatu, juga petunjuk serta rahmat dan kabar gembira bagi orang-orang yang berserah diri.”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(QS. An-Nahl: 89)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Masih banyak lagi ayat-ayat yang serupa dalam masalah ini.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Nabi juga bersabda tentang Al-Qur’an dalam sebuah hadits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Shahih-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saat beliau berpidato dalam haji wada`,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“Saya telah meninggalkan kepada kalian sesuatu, yang kalian tidak akan tersesat selama berpegang teguh padanya, yaitu kitab Allah.”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Beliau juga bersabda dalam khutbahnya di hari Ghadir Qumm, ketika kembali ke Madinah setelah haji wada`,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ِ))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“Saya meninggalkan dua hal penting kepada kalian. Yang pertama adalah kitabullah. Padanya terdapat petunjuk dan cahaya. Ambillah kitab Allah itu dan berpegang teguhlah padanya.”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Jadi, pada hadits di atas rasulullah menganjurkan dan mengharuskan kita untuk selalu berpegang erat kepada kitabullah. Kemudian beliau meneruskan,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ْ))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“Juga terhadap ahli baitku. Saya ingatkan kalian agar selalu memperhatikan ahli baitku, Saya ingatkan kalian agar selalu memperhatikan ahli baitku.”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Kedua hadits di atas diriwayatkan oleh Imam Muslim dalam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Shahih-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nya. Hadits pertama dari Jabir bin Abdillah, sedangkan yang kedua dari Zaid bin Arqam.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Dalam hadits lain rasulullah juga bersabda,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“Sebaik-baik orang dari kalian adalah yang belajar Al-Qur’an dan mengajarkannya.”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(HR. Al-Bukhari)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Beliau juga bersabda,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ُ))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“Barangsiapa menempuh jalan dalam rangka mencari ilmu, maka Allah akan memudahkan baginya jalan menuju surga. Tidaklah suatu kaum berkumpul di salah satu rumah Allah, membaca kitab Allah, dan mempelajarinya bersama-sama, kecuali bahwa ketenteraman akan turun kepada mereka, rahmat Allah memenuhi mereka, malaikat menaungi mereka, dan Allah menyebut-nyebut mereka di hadapan makhluk yang berada di sisi-Nya. Barangsiapa cacat amalnya, maka nasabnya tidak akan menyempurnakannya.”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(Diriwayatkan oleh Imam Muslim dalam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Shahih-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nya dari Abu Hurairah)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masih banyak lagi hadits yang membahas hal yang sama seperti di atas.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Kemudian, kitab yang paling baik setelah Al-Qur’an adalah kitab-kitab hadits nabi. Yaitu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kutub as-sunnah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seperti: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Shahih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Al-Bukhari,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Shahih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Muslim, Sunan Abi Dawud, Sunan Tirmidzi, Sunan An-Nasai, Sunan Ibnu Majah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 kitab-kitab sunnah yang diperpegangi lainnya.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Seharusnya majlis-majlis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halaqah-halaqah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ada itu dimakmurkan dengan belajar Al-Qur’an dan pengajarannya, dengan belajar ilmu fiqh, mempelajari kitab-kitab hadits, dan memahamkan orang dengan hadits-hadits itu. Dan hendaklah yang menangani pengajaran ini adalah seseorang yang memiliki pengetahuan jelas terhadap ilmu-ilmu itu, yang bisa dipercaya keilmuannya dalam bidang agama, dipercaya ketulusannya dalam memberikan nasehat, dan terlihat jelas keistiqomahannya dalam menjalankan agama ini.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Diantara kitab hadits yang juga baik diajarkan adalah 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Riyadush Shalihin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at-Targhib wat Tarhib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al-Wabil ash-Shayyib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Umdatul Hadits asy-Syarif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Bulughul Maram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Muntaqal Akhbar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dan kitab-kitab hadits lainnya yang bermanfaat.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Adapun kitab-kitab yang ditulis dalam masalah aqidah, maka yang paling baik adalah :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Kitabut Tauhid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Syaikh Muhammad bin Abdul Wahhab. Kemudian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Syarah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(penjelasan)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Kitabut Tauhid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itu oleh kedua cucunya, yaitu kitab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Taisirul Azizil Hamid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syaikh Sulaiman bin Abdullah bin Muhammad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Fathul Majid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syaikh Abdurrahman bin Hasan bin Muhammad. Juga diantaranya adalah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Majmu`atut Tauhid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syaikh Muhammad bin Abdul Wahhab juga.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Kemudian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 al-Iman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Al-Qaidah al-Jalilah fi at-Tawassul wa al-Wasilah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Al-Aqidah al-Wasithiyyah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At-Tadmuriyyah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Al-Hamawiyyah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Kelima kitab itu adalah karangan Syaikhul Islam Ibnu Taimiyah. Diantaranya juga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Zadul Ma`ad fi Hadyi Khairi al-‘Ibad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ash-Showa`iq al-Mursalah ala al-Jahmiyyah wa al-Mu`aththilah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Ijtima` al-Juyush al-Islamiyah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al-Qashidah an-Nuuniyyah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Ighotsatu al-Lahzfaan min Makaaid asy-Syaithon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Kelima kitab ini adalah karya Imam Ibnul Qayyim. Juga yang harus dibaca dalam masalah aqidah adalah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Syarhu ath-Thahawiyyah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Abil `Izz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Minhajus Sunnah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Syaikhul Islam Ibnu Taimiyah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Iqtidha` ash-Shirat al-Mustaqim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beliau juga.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Kemudian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Kitabut Tauhid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Khuzaimah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 as-Sunnah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Abdullah bin Imam Ahmad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Al-I`tisham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Asy-Syathibiy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kitab lainnya karya ulama` ahlussunnah yang menjelaskan tentang aqidah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ahlussunnah wal jamaah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Sedangkan kitab yang mencakup segala masalah di atas adalah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Fatawa Syaikhul Islam Ibnu Taimiyyah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dan 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Ad-Durar As-Saniyyah fi al-Fatawa an-Najdiyyah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dikumpulkan oleh Syaikh Abdurrahman bin Qasim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rahimahullah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Dinukil dari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Tuhfatul Ikhwaan Bi Ajwibatin Muhimmatin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Tata`allaqu Bi Arkaan Al-Islam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oleh Syaikh Abdul Aziz bin Abdullah 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bin Baaz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Rahimahullah;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Daar Thaibah, Riyadh, Cet. 1, 1421 H/2000 M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797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Abu Salma</w:t>
      <w:tab/>
      <w:t xml:space="preserve">2 dari 3</w:t>
      <w:tab/>
      <w:t xml:space="preserve">23/03/2007</w:t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  <w:rtl w:val="0"/>
      </w:rPr>
      <w:t xml:space="preserve">http://dear.to/abusalma</w:t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  <w:rtl w:val="0"/>
      </w:rPr>
      <w:t xml:space="preserve">Maktabah Abu Salma al-Atsari</w:t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line="360" w:lineRule="auto"/>
      <w:jc w:val="center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