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ff0000"/>
          <w:sz w:val="38"/>
          <w:szCs w:val="38"/>
          <w:u w:val="none"/>
          <w:shd w:fill="auto" w:val="clear"/>
          <w:vertAlign w:val="baseline"/>
        </w:rPr>
      </w:pPr>
      <w:r w:rsidDel="00000000" w:rsidR="00000000" w:rsidRPr="00000000">
        <w:rPr>
          <w:rFonts w:ascii="Verdana" w:cs="Verdana" w:eastAsia="Verdana" w:hAnsi="Verdana"/>
          <w:b w:val="1"/>
          <w:i w:val="0"/>
          <w:smallCaps w:val="0"/>
          <w:strike w:val="0"/>
          <w:color w:val="ff0000"/>
          <w:sz w:val="38"/>
          <w:szCs w:val="38"/>
          <w:u w:val="none"/>
          <w:shd w:fill="auto" w:val="clear"/>
          <w:vertAlign w:val="baseline"/>
          <w:rtl w:val="0"/>
        </w:rPr>
        <w:t xml:space="preserve">BEBERAPA FATWA PILIHAN</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ff0000"/>
          <w:sz w:val="38"/>
          <w:szCs w:val="38"/>
          <w:u w:val="none"/>
          <w:shd w:fill="auto" w:val="clear"/>
          <w:vertAlign w:val="baseline"/>
        </w:rPr>
      </w:pPr>
      <w:r w:rsidDel="00000000" w:rsidR="00000000" w:rsidRPr="00000000">
        <w:rPr>
          <w:rFonts w:ascii="Verdana" w:cs="Verdana" w:eastAsia="Verdana" w:hAnsi="Verdana"/>
          <w:b w:val="1"/>
          <w:i w:val="0"/>
          <w:smallCaps w:val="0"/>
          <w:strike w:val="0"/>
          <w:color w:val="ff0000"/>
          <w:sz w:val="38"/>
          <w:szCs w:val="38"/>
          <w:u w:val="none"/>
          <w:shd w:fill="auto" w:val="clear"/>
          <w:vertAlign w:val="baseline"/>
          <w:rtl w:val="0"/>
        </w:rPr>
        <w:t xml:space="preserve">ULAMA YAMAN</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ff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ff"/>
          <w:sz w:val="24"/>
          <w:szCs w:val="24"/>
          <w:u w:val="none"/>
          <w:shd w:fill="auto" w:val="clear"/>
          <w:vertAlign w:val="baseline"/>
          <w:rtl w:val="0"/>
        </w:rPr>
        <w:t xml:space="preserve">HUKUM MEMBACA AL-FATIHAH?</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Ditanya Fadhilatusy Syaikh Muhammad bin ‘Abdillah al-Imam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pertanyaan berikut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القراءة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للمأموم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الجهرية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 hukum membaca (surat al-Fatihah, pent) bagi seorang makmum ketika sholah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Jahriyah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الصحيح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أقوال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قراءة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الفاتحة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الصحيحين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عبادة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الصامت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يقرأ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بفاتحة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يشمل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الإمام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والمأموم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ويشمل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الجهرية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والسرية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أبي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هريرة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يقرأ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بفاتحة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فصلاته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خداج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تمام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روي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أتقرؤون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الإمام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والإمام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يقرأ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فقالوا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لنفعل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تفعلوا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ليقرأ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أحدكم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بفاتحة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نفسه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وسنده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حسن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رواه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قرأ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فأنصتوا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أعلها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الحفاظ</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بالشذوذ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وأيضا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خصه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الأحاديث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السابقة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الدالة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قراءة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الفاتحة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menjawab :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benar dari pendapat para ulama adalah wajib bagi seorang makmum membaca al-Fatihah sebagaimana hadits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Shahihain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‘Ubadah bin Shamit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Alihi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 ada sholat bagi yang tidak membaca surat al-Fatihah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Hadits ini umum, mencakup imam maupun makmum dan mencakup sholat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jahriyah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maupun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siriyah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Sebagaimana hadits riwayat Muslim dari Abu Hurairoh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Alihi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Barangsiapa yang tidak membaca surat al-Fatihah maka sholatnya kurang tidak sempurna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Sebagaimana pula diriwayatkan oleh Abu Ya’la dari Anas yang berkata :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Alihi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Apakah kalian membaca di belakang imam sedangkan imam sedang membaca?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Para sahabat menjawab : “(Iya) sesungguhnya kami melakukannya.” Lalu Nabi bersabda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Janganlah kalian melakukannya, hendaklah tiap-tiap kalian membaca al-Fatihah  sendiri-sendiri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sanad hadits ini hasan. Adapun yang diriwayatkan oleh Muslim bahwasanya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Alihi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Apabila (imam) membaca maka kalian hendaklah diam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Sebagian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huffazh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mencacat hadits ini dengan (menilainya sebagai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syadz</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juga hadits ini umum, dikhususkan dengan hadits-hadits sebelumnya yang menunjukkan akan dibacanya al-Fatihah.”</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ff"/>
          <w:sz w:val="24"/>
          <w:szCs w:val="24"/>
          <w:u w:val="none"/>
          <w:shd w:fill="auto" w:val="clear"/>
          <w:vertAlign w:val="baseline"/>
          <w:rtl w:val="0"/>
        </w:rPr>
        <w:t xml:space="preserve">HUKUM BERAMAL DENGAN HADITS DHA’IF</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Ditanya Fadhilatusy Syaikh Muhammad bin ‘Abdul Wahhab al-Washobi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pertanyaan berikut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سائل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العمل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بالحديث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الضعيف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 hukumnya beramal dengan hadits dha’if?”</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menjawab :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4"/>
          <w:szCs w:val="34"/>
          <w:u w:val="none"/>
          <w:shd w:fill="auto" w:val="clear"/>
          <w:vertAlign w:val="baseline"/>
        </w:rPr>
      </w:pP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الجواب</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كما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تعلمون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الحديث</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ينقسم</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ثلاثة</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أقسام</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صحيح</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حسن</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وأن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الصحيح</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ينقسم</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قسمين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صحيح</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لذاته</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وصحيح</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لغيره</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وأن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الحسن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ينقسم</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كذلك</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قسمين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حسن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لذاته</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وحسن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لغيره</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وأن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أيضا</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ينقسم</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قسمين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ضعيف</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وإلى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جدا</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فالصحيح</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لذاته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والصحيح</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لغيره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والحسن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لذاته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والحسن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لغيره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كل</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هذه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يعمل</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بها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ويحتج</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بها</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يبقى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موضوع</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أما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جدا</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فهذا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يعمل</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به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ولا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يحتج</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به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والضعيف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إذا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بضعيف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آخر</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فارتقى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درجة</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الحسن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لغيره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إذا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وجد</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يشهد</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يعضده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فإن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الضعيف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معناه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ضعفه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منجبر</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بخلاف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لو</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كان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جدا</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ضعفه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ينجبر</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فإذا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وجد</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للضعيف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يشهد</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شاهد</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أو</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متابع</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فحينئذ</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يكون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ضعيفا</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لذاته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ويكون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حسنا</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لغيره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فيرتقي</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فيعمل</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به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لأنه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حسن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لغيره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وإذا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لم</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يجد</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يعضده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فيبقى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هو</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عليه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ضعيف</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يحتج</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به</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”Sebagaimana yang kalian fahami, bahwa hadits itu terbagi menjadi tiga macam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 hasan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sendiri terbagi menjadi dua yaitu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 lidzaatihi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shahih lighoirihi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juga terbagi menjadi dua yaitu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hasan lidzaatihi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hasan lighoirihi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sendiri juga ada dua macam, yaitu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 jiddan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(lemah sekali). Hadits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 lidzatihi, shahih lighoirihi, hasan lidzatihi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hasan lighoirihi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semuanya diamalkan dan berhujjah dengannya. Tersisa sekarang pembahasan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 jiddan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tidak boleh diamalkan dan berhujjah dengannya. Hadist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apabila diperkuat dengan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lainnya dapat terangkat kepada status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hasan lighoirihi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apabila terdapat hadits yang menjadi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syahid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menguatkannya, karena sesungguhnya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bermakna bahwa kedhaifannya dapat menjadi pulih kembali, berkebalikan dengan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 jiddan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kedha’ifannya tidak dapat pulih kembali. Apabila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memiliki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syahid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mutabi’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(penyerta) yang memperkuatnya  maka saat itu (dapat) menjadi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dha’if lidzatihi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hasan lighoirihi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lalu terangkat statusnya maka diamalkan dikarenakan statusnya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hasan lighoirihi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apabila tidak terdapat hadits yang menguatkannya maka hadits itu tetap atas kedha’ifannya dan tidak dapat berhujjah dengannya.”</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ff"/>
          <w:sz w:val="24"/>
          <w:szCs w:val="24"/>
          <w:u w:val="none"/>
          <w:shd w:fill="auto" w:val="clear"/>
          <w:vertAlign w:val="baseline"/>
          <w:rtl w:val="0"/>
        </w:rPr>
        <w:t xml:space="preserve">HUKUM SHOLAT GHAIB</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Ditanya Syaikh Muhammad bin ’Abdillah al-Imam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حكم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الغائب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 hukum sholat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ghaib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menjawab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الصحيح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أقوال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يستحب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الغائب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بشرط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الديار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كصلاته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والسلام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النجاشي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بالحبشة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الصحيحين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بديار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كفر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يؤثر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الغائب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خارج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المدينة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benar dari pendapat para ulama adalah disunnahkan sholat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ghaib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syarat ia mengetahui bahwasanya orang yang mati di suatu negeri belum disholati sebagaimana sholatnya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’alahi Sholatu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terhadap Najasyi (Negus) ketika wafat di Habasyah (Abessinia) sebagaimana termaktub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Shahihain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ini dikarenakan Najasyi berada di negeri kafir dan belum pernah dilaporkan dari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Ali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bahwasanya beliau mensholati selain Najasyi dengan sholat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ghaib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terhadap orang yang meninggal di luar Madinah.”</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ff"/>
          <w:sz w:val="24"/>
          <w:szCs w:val="24"/>
          <w:u w:val="none"/>
          <w:shd w:fill="auto" w:val="clear"/>
          <w:vertAlign w:val="baseline"/>
          <w:rtl w:val="0"/>
        </w:rPr>
        <w:t xml:space="preserve">BAGAIMANA PERIHAL SYU’AIB AL-ARNA’UTH?</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Ditanya Syaikh Muhammad bin ’Abdil Wahhab al-Washobi</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pertanyaan berikut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السائل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شعيب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الأرنأووط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يؤخذ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بحكمه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الأحاديث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بالصحة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الضعف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”Bagaimana perihal Syu’aib al-Arna`uth? Apakah diterima penghukuman beliau kepada hadits-hadits akan keshahihan dan kedha’ifannya?</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الجواب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تحقيقاته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الجملة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طيبة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ويؤخذ</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يحكم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الحديث</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صحة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وضعفا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إذا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تأكدت</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حديث</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أخطأ</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فتأخذ</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بالصحيح</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لكن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إذا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تجد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قوله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بأس</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تأخذ</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وقد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سئل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شيخنا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مقبل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رحمة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عليه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فأفتى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بمثل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هذا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يستفاد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تحقيقاته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وأنها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الجملة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طيبة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يتعلق</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بموضوع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العقيدة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فهو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منتقد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العقيدة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حديث</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التحقيق</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والتخريج</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والحكم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الأحاديث</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فيشكر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ذلك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ونسأل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يهدينا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وإياه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وجميع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المسلمين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Tahqiq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(penelitian) beliau secara umum adalah baik dan boleh diterima penghukumannya terhadap hadits shahih dan tidaknya, kecuali apabila anda menguatkan bahwasanya beliau di dalam suatu hadits telah keliru maka ambillah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apabila anda tidak menemukan suatu pendapat kecuali hanya pendapatnya, maka tidaklah mengapa mengambil pendapatnya. Guru kami Syaikh Muqbil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rahmatullahu ’alayhi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pernah ditanya tentangnya (Syu’aib al-Arna`uth) dan beliau menfatwakan yang semisal dengan jawabanku ini, yaitu boleh memetik faidah dari penelitian-penelitian beliau dan bahwasanya beliau ini secara global adalah baik kecuali di dalam masalah yang berkaitan dengan aqidah, dia dikritik dalam masalah aqidah. Adapun dari segi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tahqiq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(penelitian),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takhrij</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penghukuman atas hadits-hadits, beliau bersyukur atasnya. Semoga Alloh memberikan kita dan beliau petunjuk juga terhadap seluruh kaum muslimin.”</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ff"/>
          <w:sz w:val="24"/>
          <w:szCs w:val="24"/>
          <w:u w:val="none"/>
          <w:shd w:fill="auto" w:val="clear"/>
          <w:vertAlign w:val="baseline"/>
          <w:rtl w:val="0"/>
        </w:rPr>
        <w:t xml:space="preserve">APAKAH KHOMR NAJIS?</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Ditanya Fadhilatusy Syaikh Muhammad bin ’Abdillah al-Imam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333333"/>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32"/>
          <w:szCs w:val="32"/>
          <w:u w:val="none"/>
          <w:shd w:fill="auto" w:val="clear"/>
          <w:vertAlign w:val="baseline"/>
          <w:rtl w:val="1"/>
        </w:rPr>
        <w:t xml:space="preserve">هل</w:t>
      </w:r>
      <w:r w:rsidDel="00000000" w:rsidR="00000000" w:rsidRPr="00000000">
        <w:rPr>
          <w:rFonts w:ascii="Times New Roman" w:cs="Times New Roman" w:eastAsia="Times New Roman" w:hAnsi="Times New Roman"/>
          <w:b w:val="0"/>
          <w:i w:val="0"/>
          <w:smallCaps w:val="0"/>
          <w:strike w:val="0"/>
          <w:color w:val="333333"/>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333333"/>
          <w:sz w:val="32"/>
          <w:szCs w:val="32"/>
          <w:u w:val="none"/>
          <w:shd w:fill="auto" w:val="clear"/>
          <w:vertAlign w:val="baseline"/>
          <w:rtl w:val="1"/>
        </w:rPr>
        <w:t xml:space="preserve">الخمــر</w:t>
      </w:r>
      <w:r w:rsidDel="00000000" w:rsidR="00000000" w:rsidRPr="00000000">
        <w:rPr>
          <w:rFonts w:ascii="Times New Roman" w:cs="Times New Roman" w:eastAsia="Times New Roman" w:hAnsi="Times New Roman"/>
          <w:b w:val="0"/>
          <w:i w:val="0"/>
          <w:smallCaps w:val="0"/>
          <w:strike w:val="0"/>
          <w:color w:val="333333"/>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333333"/>
          <w:sz w:val="32"/>
          <w:szCs w:val="32"/>
          <w:u w:val="none"/>
          <w:shd w:fill="auto" w:val="clear"/>
          <w:vertAlign w:val="baseline"/>
          <w:rtl w:val="1"/>
        </w:rPr>
        <w:t xml:space="preserve">نجـس</w:t>
      </w:r>
      <w:r w:rsidDel="00000000" w:rsidR="00000000" w:rsidRPr="00000000">
        <w:rPr>
          <w:rFonts w:ascii="Times New Roman" w:cs="Times New Roman" w:eastAsia="Times New Roman" w:hAnsi="Times New Roman"/>
          <w:b w:val="0"/>
          <w:i w:val="0"/>
          <w:smallCaps w:val="0"/>
          <w:strike w:val="0"/>
          <w:color w:val="333333"/>
          <w:sz w:val="32"/>
          <w:szCs w:val="32"/>
          <w:u w:val="none"/>
          <w:shd w:fill="auto" w:val="clear"/>
          <w:vertAlign w:val="baseline"/>
          <w:rtl w:val="1"/>
        </w:rPr>
        <w:t xml:space="preserve"> ؟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”Apakah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khomr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najis?”</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menjawab :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الصحيح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أقوال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طاهر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وليس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بنجس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ذكره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سبحانه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وتعالى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مقرونا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بالأنصاب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والأزلام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والميسر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طاهرة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خلاف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الصحيحين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حرمت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أهريقت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بالأسواق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وأسواق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ليست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للنجاسات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إراقة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الأعرابي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الخمر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بحضرة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يديه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benar dari pendapat para ulama bahwa khomr itu suci tidak najis.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 wa 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telah menyebutkan khomr bergandengan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al-Anshab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(berkorban untuk berhala),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al-Azlam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(mengundi dengan panah)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al-Maysir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(berjudi) dan kesemuanya ini adalah suci tanpa diperselisihkan lagi. Dan apa yang dijelaskan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Shahihain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Anas bahwasanya tatkala khomr diharamkan ditumpahkan di pasar-pasar sedangkan pasar-pasar kaum muslimin tidaklah najis. Di dalam riwayat Muslim tentang seorang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A’robi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(Arab badui) yang menumpahkan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khomr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hadapan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khomr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 saat itu ada di tangannya [Maksudnya, apabila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khomr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najis niscaya Rasulullah akan mengingkari si Badui tersebut, </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ff"/>
          <w:sz w:val="24"/>
          <w:szCs w:val="24"/>
          <w:u w:val="none"/>
          <w:shd w:fill="auto" w:val="clear"/>
          <w:vertAlign w:val="baseline"/>
          <w:rtl w:val="0"/>
        </w:rPr>
        <w:t xml:space="preserve">BOLEHKAH SHOLAT JUM’AT TANPA MANDI?</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Ditanya Fadhitusy Syaikh Muhammad bin ’Abdil Wahhab al-Washobi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سائل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يجوز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الجمعة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بدون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غسل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”Bolehkah sholat Jum’at tanpa mandi?”</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menjawab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333333"/>
          <w:sz w:val="32"/>
          <w:szCs w:val="32"/>
          <w:u w:val="none"/>
          <w:shd w:fill="auto" w:val="clear"/>
          <w:vertAlign w:val="baseline"/>
        </w:rPr>
      </w:pP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يجوز</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لكن</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الأفضل</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تغتسل</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فقد</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جاءت</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جملة</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أحاديث</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تأمر</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بغسل</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يوم</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الجمعة</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ومن</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أهل</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العلم</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يقول</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بوجوبه</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والجمهور</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جمهور</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أهل</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العلم</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استحبابه</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فالأفضل</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تحافظ</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عليه</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لكن</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لو</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حصل</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أنك</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صليت</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جمعة</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بدون</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غسل</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وقد</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تؤضأت</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فصلاتك</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صحيحة</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إن</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شاء</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إذا</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أديتها</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بأركانها</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وشروطها</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333333"/>
          <w:sz w:val="32"/>
          <w:szCs w:val="32"/>
          <w:u w:val="none"/>
          <w:shd w:fill="auto" w:val="clear"/>
          <w:vertAlign w:val="baseline"/>
          <w:rtl w:val="1"/>
        </w:rPr>
        <w:t xml:space="preserve">وواجباتها</w:t>
      </w:r>
      <w:r w:rsidDel="00000000" w:rsidR="00000000" w:rsidRPr="00000000">
        <w:rPr>
          <w:rFonts w:ascii="Verdana" w:cs="Verdana" w:eastAsia="Verdana" w:hAnsi="Verdana"/>
          <w:b w:val="0"/>
          <w:i w:val="0"/>
          <w:smallCaps w:val="0"/>
          <w:strike w:val="0"/>
          <w:color w:val="333333"/>
          <w:sz w:val="32"/>
          <w:szCs w:val="32"/>
          <w:u w:val="none"/>
          <w:shd w:fill="auto" w:val="clear"/>
          <w:vertAlign w:val="baseline"/>
          <w:rtl w:val="1"/>
        </w:rPr>
        <w:t xml:space="preserve">.</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”Boleh, tapi yang lebih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afdhal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hendaknya anda mandi dulu. Telah datang sejumlah hadits yang memerintahkan untuk mandi pada hari Jum’at, dan sejumlah ulama adalah yang berpendapat akan kewajibannya. Adapun jumhur ulama, mereka berpendapat akan sunnahnya.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afdhal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menjaga mandi. Akan tetapi apabila terjadi pada anda sholat Jum’at tanpa mandi dan anda telah berwudhu’, maka sholat anda tetap sah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insya Alloh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selama anda tetap memenuhi rukun-rukun, syarat-syarat dan kewajiban-kewajibannya.”</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Dialihbahasakan oleh Abu Salma al-Atsari</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Dari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Mauqi’ ‘Ulama ad-Da’wah as-Salafiyyah fil Yaman -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www.olamayemen.com</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sectPr>
      <w:headerReference r:id="rId6" w:type="default"/>
      <w:footerReference r:id="rId7" w:type="default"/>
      <w:pgSz w:h="16840" w:w="11907" w:orient="portrait"/>
      <w:pgMar w:bottom="1418" w:top="1418" w:left="1701" w:right="15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- 5 of 5 -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